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13" w:rsidRPr="00574E17" w:rsidRDefault="00542DE5" w:rsidP="00574E17">
      <w:pPr>
        <w:widowControl/>
        <w:spacing w:line="480" w:lineRule="auto"/>
        <w:ind w:firstLine="720"/>
        <w:jc w:val="both"/>
        <w:rPr>
          <w:rFonts w:ascii="Arial" w:hAnsi="Arial"/>
        </w:rPr>
      </w:pPr>
      <w:bookmarkStart w:id="0" w:name="_Toc125436815"/>
      <w:r>
        <w:rPr>
          <w:rFonts w:ascii="Arial" w:hAnsi="Arial"/>
        </w:rPr>
        <w:t xml:space="preserve">An Act making changes to </w:t>
      </w:r>
      <w:r w:rsidR="00AA6BD7">
        <w:rPr>
          <w:rFonts w:ascii="Arial" w:hAnsi="Arial"/>
        </w:rPr>
        <w:t xml:space="preserve">the </w:t>
      </w:r>
      <w:r>
        <w:rPr>
          <w:rFonts w:ascii="Arial" w:hAnsi="Arial"/>
        </w:rPr>
        <w:t>controlled substance schedule</w:t>
      </w:r>
      <w:r w:rsidR="00F220D0">
        <w:rPr>
          <w:rFonts w:ascii="Arial" w:hAnsi="Arial"/>
        </w:rPr>
        <w:t>s and</w:t>
      </w:r>
      <w:r>
        <w:rPr>
          <w:rFonts w:ascii="Arial" w:hAnsi="Arial"/>
        </w:rPr>
        <w:t xml:space="preserve"> </w:t>
      </w:r>
      <w:r w:rsidR="00AA6BD7">
        <w:rPr>
          <w:rFonts w:ascii="Arial" w:hAnsi="Arial"/>
        </w:rPr>
        <w:t>providing</w:t>
      </w:r>
      <w:r>
        <w:rPr>
          <w:rFonts w:ascii="Arial" w:hAnsi="Arial"/>
        </w:rPr>
        <w:t xml:space="preserve"> penalties</w:t>
      </w:r>
      <w:r w:rsidR="00CC41DE">
        <w:rPr>
          <w:rFonts w:ascii="Arial" w:hAnsi="Arial"/>
        </w:rPr>
        <w:t>.</w:t>
      </w:r>
    </w:p>
    <w:p w:rsidR="00574E17" w:rsidRDefault="00574E17" w:rsidP="00574E17">
      <w:pPr>
        <w:spacing w:line="480" w:lineRule="atLeast"/>
        <w:rPr>
          <w:rFonts w:ascii="Arial" w:hAnsi="Arial"/>
          <w:b/>
        </w:rPr>
      </w:pPr>
      <w:bookmarkStart w:id="1" w:name="_Toc125436816"/>
      <w:bookmarkEnd w:id="0"/>
      <w:r>
        <w:rPr>
          <w:rFonts w:ascii="Arial" w:hAnsi="Arial"/>
          <w:b/>
        </w:rPr>
        <w:t xml:space="preserve">BE IT ENACTED BY THE GENERAL ASSEMBLY OF THE STATE OF </w:t>
      </w:r>
      <w:smartTag w:uri="urn:schemas-microsoft-com:office:smarttags" w:element="PostalCode">
        <w:smartTag w:uri="urn:schemas-microsoft-com:office:smarttags" w:element="State">
          <w:r>
            <w:rPr>
              <w:rFonts w:ascii="Arial" w:hAnsi="Arial"/>
              <w:b/>
            </w:rPr>
            <w:t>IOWA</w:t>
          </w:r>
        </w:smartTag>
      </w:smartTag>
      <w:r>
        <w:rPr>
          <w:rFonts w:ascii="Arial" w:hAnsi="Arial"/>
          <w:b/>
        </w:rPr>
        <w:t>:</w:t>
      </w:r>
    </w:p>
    <w:p w:rsidR="00574E17" w:rsidRDefault="00574E17" w:rsidP="00574E17">
      <w:pPr>
        <w:spacing w:line="480" w:lineRule="atLeast"/>
        <w:jc w:val="both"/>
        <w:rPr>
          <w:rFonts w:ascii="Arial" w:hAnsi="Arial"/>
          <w:b/>
        </w:rPr>
      </w:pPr>
    </w:p>
    <w:p w:rsidR="00FE7B57" w:rsidRDefault="004F35EB" w:rsidP="00730865">
      <w:pPr>
        <w:spacing w:line="48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proofErr w:type="gramStart"/>
      <w:r w:rsidR="006966AB">
        <w:rPr>
          <w:rFonts w:ascii="Arial" w:hAnsi="Arial"/>
          <w:b/>
        </w:rPr>
        <w:t>Section 1.</w:t>
      </w:r>
      <w:proofErr w:type="gramEnd"/>
      <w:r w:rsidR="006966AB">
        <w:rPr>
          <w:rFonts w:ascii="Arial" w:hAnsi="Arial"/>
          <w:b/>
        </w:rPr>
        <w:t xml:space="preserve"> </w:t>
      </w:r>
      <w:r w:rsidR="00FE7B57">
        <w:rPr>
          <w:rFonts w:ascii="Arial" w:hAnsi="Arial"/>
        </w:rPr>
        <w:t>Section 124.204, subsection 4, Code 201</w:t>
      </w:r>
      <w:r w:rsidR="00847FD5">
        <w:rPr>
          <w:rFonts w:ascii="Arial" w:hAnsi="Arial"/>
        </w:rPr>
        <w:t>5</w:t>
      </w:r>
      <w:r w:rsidR="00FE7B57">
        <w:rPr>
          <w:rFonts w:ascii="Arial" w:hAnsi="Arial"/>
        </w:rPr>
        <w:t>, is amended by adding the following new paragraph</w:t>
      </w:r>
      <w:r w:rsidR="000A16F0">
        <w:rPr>
          <w:rFonts w:ascii="Arial" w:hAnsi="Arial"/>
        </w:rPr>
        <w:t>s</w:t>
      </w:r>
      <w:r w:rsidR="00FE7B57">
        <w:rPr>
          <w:rFonts w:ascii="Arial" w:hAnsi="Arial"/>
        </w:rPr>
        <w:t>: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 w:rsidR="00AA6BD7">
        <w:rPr>
          <w:rFonts w:ascii="Arial" w:hAnsi="Arial" w:cs="Arial"/>
          <w:szCs w:val="24"/>
        </w:rPr>
        <w:t>al</w:t>
      </w:r>
      <w:r w:rsidRPr="00082D3C">
        <w:rPr>
          <w:rFonts w:ascii="Arial" w:hAnsi="Arial" w:cs="Arial"/>
          <w:szCs w:val="24"/>
        </w:rPr>
        <w:t>.</w:t>
      </w:r>
      <w:r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4-methyl-N-ethylcathinone. Other names: 4-MEC, 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ethylamino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)-1-(4-methylphenyl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)propan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 w:rsidR="00AA6BD7">
        <w:rPr>
          <w:rFonts w:ascii="Arial" w:hAnsi="Arial" w:cs="Arial"/>
          <w:szCs w:val="24"/>
        </w:rPr>
        <w:t>am</w:t>
      </w:r>
      <w:r w:rsidRPr="00082D3C">
        <w:rPr>
          <w:rFonts w:ascii="Arial" w:hAnsi="Arial" w:cs="Arial"/>
          <w:szCs w:val="24"/>
        </w:rPr>
        <w:t>.</w:t>
      </w:r>
      <w:r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4-methyl-alpha-pyrrolidinopropiophenone.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 Other names: 4-MePPP,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MePPP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4-methyl-[alpha]-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pyrrolidinopropiophenone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1-(4-methylphenyl)-2-(pyrrolidin-1-yl)-propan-1-one.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AA6BD7">
        <w:rPr>
          <w:rFonts w:ascii="Arial" w:hAnsi="Arial" w:cs="Arial"/>
          <w:szCs w:val="24"/>
        </w:rPr>
        <w:t>an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Alpha-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pyrrolidinopentiophenone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. Other names: [alpha]-PVP, [alpha]-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pyrrolidinovalerophenone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1-phenyl-2-(pyrrolidin-1-yl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)pentan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proofErr w:type="spellStart"/>
      <w:r w:rsidR="00C9599D">
        <w:rPr>
          <w:rFonts w:ascii="Arial" w:hAnsi="Arial" w:cs="Arial"/>
          <w:szCs w:val="24"/>
        </w:rPr>
        <w:t>ao</w:t>
      </w:r>
      <w:proofErr w:type="spellEnd"/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Butylone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.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 Other names: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bk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-MBDB, 1-(1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,3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-benzodioxol-5-yl)-2-(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)butan-1-one.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</w:t>
      </w:r>
      <w:r w:rsidR="00C9599D">
        <w:rPr>
          <w:rFonts w:ascii="Arial" w:hAnsi="Arial" w:cs="Arial"/>
          <w:szCs w:val="24"/>
        </w:rPr>
        <w:t>ap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Pentedrone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. Other names: [alpha]-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methylaminovalerophenone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)-1-phenylpentan-1-one.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aq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Pentylone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. Other names: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bk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-MBDP, 1-(1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,3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-benzodioxol-5-yl)-2-(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)pentan-1-one.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ar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4-fluoro-N-methylcathinone. Other names: 4-FMC,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flephedrone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1-(4-fluorophenyl)-2-(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</w:t>
      </w:r>
      <w:proofErr w:type="spellEnd"/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)propan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as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3-fluoro-N-methylcathinone.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 Other names: 3-FMC, 1-(3-fluorophenyl)-2-(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methylamino</w:t>
      </w:r>
      <w:proofErr w:type="spellEnd"/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)propan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at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Naphyrone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.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 xml:space="preserve"> Other names: 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naphthylpyrovalerone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, 1-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lastRenderedPageBreak/>
        <w:t>(naphthalen-2-yl)-2-(pyrrolidin-1-yl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)pentan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color w:val="000000"/>
          <w:szCs w:val="24"/>
          <w:u w:color="000000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au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Alpha-</w:t>
      </w:r>
      <w:proofErr w:type="spell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pyrrolidinobutiophenone</w:t>
      </w:r>
      <w:proofErr w:type="spell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. Other names: [alpha]-PBP, 1-phenyl-2-(pyrrolidin-1-yl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)butan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-1-one.</w:t>
      </w:r>
    </w:p>
    <w:p w:rsidR="00847FD5" w:rsidRPr="00082D3C" w:rsidRDefault="00847FD5" w:rsidP="00082D3C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2.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>Section 124.204, subsection 9, Code 2015, is amended by adding the following new paragraphs: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g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Quinolin-8-yl 1-pentyl-1H-indole-3-carboxylate. Other names: PB-22, QUPIC.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h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Quinolin-8-yl 1-(5-fluoropentyl)-1H-indole-3-carboxylate. Other names: 5-fluoro-PB-22, 5F-PB-22.</w:t>
      </w:r>
    </w:p>
    <w:p w:rsidR="00847FD5" w:rsidRPr="00082D3C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F3429E" w:rsidRPr="00082D3C">
        <w:rPr>
          <w:rFonts w:ascii="Arial" w:hAnsi="Arial" w:cs="Arial"/>
          <w:szCs w:val="24"/>
        </w:rPr>
        <w:t xml:space="preserve">  </w:t>
      </w:r>
      <w:proofErr w:type="spellStart"/>
      <w:r w:rsidR="00C9599D">
        <w:rPr>
          <w:rFonts w:ascii="Arial" w:hAnsi="Arial" w:cs="Arial"/>
          <w:szCs w:val="24"/>
        </w:rPr>
        <w:t>i</w:t>
      </w:r>
      <w:proofErr w:type="spellEnd"/>
      <w:r w:rsidR="00F3429E" w:rsidRPr="00082D3C">
        <w:rPr>
          <w:rFonts w:ascii="Arial" w:hAnsi="Arial" w:cs="Arial"/>
          <w:szCs w:val="24"/>
        </w:rPr>
        <w:t>.</w:t>
      </w:r>
      <w:r w:rsidR="00F3429E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N-(1-amino-3-methyl-1-oxobutan-2-yl)-1-(4-fluorobenzyl)-1H-indazole-3-carboxamide. Other name: AB-FUBINACA.</w:t>
      </w:r>
    </w:p>
    <w:p w:rsidR="00847FD5" w:rsidRDefault="00847FD5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color w:val="000000"/>
          <w:szCs w:val="24"/>
          <w:u w:color="000000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j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Pr="00082D3C">
        <w:rPr>
          <w:rFonts w:ascii="Arial" w:hAnsi="Arial" w:cs="Arial"/>
          <w:snapToGrid/>
          <w:color w:val="000000"/>
          <w:szCs w:val="24"/>
          <w:u w:color="000000"/>
        </w:rPr>
        <w:t>N-(1-amino-3</w:t>
      </w:r>
      <w:proofErr w:type="gramStart"/>
      <w:r w:rsidRPr="00082D3C">
        <w:rPr>
          <w:rFonts w:ascii="Arial" w:hAnsi="Arial" w:cs="Arial"/>
          <w:snapToGrid/>
          <w:color w:val="000000"/>
          <w:szCs w:val="24"/>
          <w:u w:color="000000"/>
        </w:rPr>
        <w:t>,3</w:t>
      </w:r>
      <w:proofErr w:type="gramEnd"/>
      <w:r w:rsidRPr="00082D3C">
        <w:rPr>
          <w:rFonts w:ascii="Arial" w:hAnsi="Arial" w:cs="Arial"/>
          <w:snapToGrid/>
          <w:color w:val="000000"/>
          <w:szCs w:val="24"/>
          <w:u w:color="000000"/>
        </w:rPr>
        <w:t>-dimethyl-1-oxobutan-2-yl)-1-pentyl-1H-indazole-3-carboxamide. Other name: ADB-PINACA.</w:t>
      </w:r>
    </w:p>
    <w:p w:rsidR="00FB4C5F" w:rsidRDefault="00FB4C5F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k</w:t>
      </w:r>
      <w:r w:rsidRPr="00082D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N-(1-amino-3-methyl-1-oxobutan-2-yl)-1-(cyclohexylmethyl)-1H-indazole-3-carboxamide. Other name: AB-CHMINACA.</w:t>
      </w:r>
    </w:p>
    <w:p w:rsidR="00FB4C5F" w:rsidRDefault="00FB4C5F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l</w:t>
      </w:r>
      <w:r w:rsidRPr="00082D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N-(1-amino-3-methyl-1-oxobutan-2-yl)-1-pentyl-1H-indazole-3-carboxamide. Other name: AB-PINACA.</w:t>
      </w:r>
    </w:p>
    <w:p w:rsidR="00FB4C5F" w:rsidRDefault="00FB4C5F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m</w:t>
      </w:r>
      <w:r w:rsidRPr="00082D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[1-(5-fluoropentyl)-1H-indazol-3-yl</w:t>
      </w:r>
      <w:proofErr w:type="gramStart"/>
      <w:r>
        <w:rPr>
          <w:rFonts w:ascii="Arial" w:hAnsi="Arial" w:cs="Arial"/>
          <w:szCs w:val="24"/>
        </w:rPr>
        <w:t>](</w:t>
      </w:r>
      <w:proofErr w:type="gramEnd"/>
      <w:r>
        <w:rPr>
          <w:rFonts w:ascii="Arial" w:hAnsi="Arial" w:cs="Arial"/>
          <w:szCs w:val="24"/>
        </w:rPr>
        <w:t>naphthalen-1-yl)</w:t>
      </w:r>
      <w:proofErr w:type="spellStart"/>
      <w:r>
        <w:rPr>
          <w:rFonts w:ascii="Arial" w:hAnsi="Arial" w:cs="Arial"/>
          <w:szCs w:val="24"/>
        </w:rPr>
        <w:t>methanone</w:t>
      </w:r>
      <w:proofErr w:type="spellEnd"/>
      <w:r>
        <w:rPr>
          <w:rFonts w:ascii="Arial" w:hAnsi="Arial" w:cs="Arial"/>
          <w:szCs w:val="24"/>
        </w:rPr>
        <w:t>. Other name: THJ-2201.</w:t>
      </w:r>
    </w:p>
    <w:p w:rsidR="00FB4C5F" w:rsidRDefault="00FB4C5F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n</w:t>
      </w:r>
      <w:r w:rsidRPr="00082D3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N-(1-phenethylpiperidin-4-yl)-N-</w:t>
      </w:r>
      <w:proofErr w:type="spellStart"/>
      <w:r>
        <w:rPr>
          <w:rFonts w:ascii="Arial" w:hAnsi="Arial" w:cs="Arial"/>
          <w:szCs w:val="24"/>
        </w:rPr>
        <w:t>phenylacetamide</w:t>
      </w:r>
      <w:proofErr w:type="spellEnd"/>
      <w:r>
        <w:rPr>
          <w:rFonts w:ascii="Arial" w:hAnsi="Arial" w:cs="Arial"/>
          <w:szCs w:val="24"/>
        </w:rPr>
        <w:t xml:space="preserve">. Other name: acetyl </w:t>
      </w:r>
      <w:proofErr w:type="spellStart"/>
      <w:r>
        <w:rPr>
          <w:rFonts w:ascii="Arial" w:hAnsi="Arial" w:cs="Arial"/>
          <w:szCs w:val="24"/>
        </w:rPr>
        <w:t>fentanyl</w:t>
      </w:r>
      <w:proofErr w:type="spellEnd"/>
      <w:r>
        <w:rPr>
          <w:rFonts w:ascii="Arial" w:hAnsi="Arial" w:cs="Arial"/>
          <w:szCs w:val="24"/>
        </w:rPr>
        <w:t xml:space="preserve">. </w:t>
      </w:r>
    </w:p>
    <w:p w:rsidR="00C3104C" w:rsidRPr="00082D3C" w:rsidRDefault="00C3104C" w:rsidP="00C3104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</w:t>
      </w:r>
      <w:r>
        <w:rPr>
          <w:rFonts w:ascii="Arial" w:hAnsi="Arial" w:cs="Arial"/>
          <w:szCs w:val="24"/>
          <w:u w:val="single"/>
        </w:rPr>
        <w:t xml:space="preserve"> </w:t>
      </w:r>
      <w:r w:rsidRPr="00082D3C">
        <w:rPr>
          <w:rFonts w:ascii="Arial" w:hAnsi="Arial" w:cs="Arial"/>
          <w:szCs w:val="24"/>
          <w:u w:val="single"/>
        </w:rPr>
        <w:t>PARAGRAPH:</w:t>
      </w:r>
      <w:r w:rsidRPr="00082D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o. N-(1-amino-3</w:t>
      </w:r>
      <w:proofErr w:type="gramStart"/>
      <w:r>
        <w:rPr>
          <w:rFonts w:ascii="Arial" w:hAnsi="Arial" w:cs="Arial"/>
          <w:szCs w:val="24"/>
        </w:rPr>
        <w:t>,3</w:t>
      </w:r>
      <w:proofErr w:type="gramEnd"/>
      <w:r>
        <w:rPr>
          <w:rFonts w:ascii="Arial" w:hAnsi="Arial" w:cs="Arial"/>
          <w:szCs w:val="24"/>
        </w:rPr>
        <w:t>-dimethyl-1-oxobutan-2-yl)-1-(cyclohexylmethyl)-1H-indazole-3-carboxamide. Other names: MAB-CHMINACA; ADB-CHMINACA.</w:t>
      </w:r>
    </w:p>
    <w:p w:rsidR="00C3104C" w:rsidRPr="00082D3C" w:rsidRDefault="00C3104C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napToGrid/>
          <w:szCs w:val="24"/>
        </w:rPr>
      </w:pPr>
    </w:p>
    <w:p w:rsidR="00FB4C5F" w:rsidRDefault="00FB4C5F" w:rsidP="00082D3C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3.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>Section 124.20</w:t>
      </w:r>
      <w:r>
        <w:rPr>
          <w:rFonts w:ascii="Arial" w:hAnsi="Arial" w:cs="Arial"/>
          <w:szCs w:val="24"/>
        </w:rPr>
        <w:t>6, subsection 2, paragraph (a), is amended as follows:</w:t>
      </w:r>
    </w:p>
    <w:p w:rsidR="00FB4C5F" w:rsidRDefault="00FB4C5F" w:rsidP="00082D3C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a. Opium and opiate, and a</w:t>
      </w:r>
      <w:r w:rsidR="00CE1CFC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y salt, compound, derivative, or preparation of opium or opiate excluding </w:t>
      </w:r>
      <w:proofErr w:type="spellStart"/>
      <w:r>
        <w:rPr>
          <w:rFonts w:ascii="Arial" w:hAnsi="Arial" w:cs="Arial"/>
          <w:szCs w:val="24"/>
        </w:rPr>
        <w:t>apomorphine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thebaine</w:t>
      </w:r>
      <w:proofErr w:type="spellEnd"/>
      <w:r>
        <w:rPr>
          <w:rFonts w:ascii="Arial" w:hAnsi="Arial" w:cs="Arial"/>
          <w:szCs w:val="24"/>
        </w:rPr>
        <w:t>-de</w:t>
      </w:r>
      <w:r w:rsidR="00CE1CFC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 xml:space="preserve">ived </w:t>
      </w:r>
      <w:proofErr w:type="spellStart"/>
      <w:r>
        <w:rPr>
          <w:rFonts w:ascii="Arial" w:hAnsi="Arial" w:cs="Arial"/>
          <w:szCs w:val="24"/>
        </w:rPr>
        <w:t>butorphanol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dextrorphan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nalbuphine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nalmefene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  <w:u w:val="single"/>
        </w:rPr>
        <w:t>na</w:t>
      </w:r>
      <w:r w:rsidR="00CE1CFC">
        <w:rPr>
          <w:rFonts w:ascii="Arial" w:hAnsi="Arial" w:cs="Arial"/>
          <w:szCs w:val="24"/>
          <w:u w:val="single"/>
        </w:rPr>
        <w:t>l</w:t>
      </w:r>
      <w:r>
        <w:rPr>
          <w:rFonts w:ascii="Arial" w:hAnsi="Arial" w:cs="Arial"/>
          <w:szCs w:val="24"/>
          <w:u w:val="single"/>
        </w:rPr>
        <w:t>oxegol</w:t>
      </w:r>
      <w:proofErr w:type="spellEnd"/>
      <w:r>
        <w:rPr>
          <w:rFonts w:ascii="Arial" w:hAnsi="Arial" w:cs="Arial"/>
          <w:szCs w:val="24"/>
          <w:u w:val="single"/>
        </w:rPr>
        <w:t>,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naloxone</w:t>
      </w:r>
      <w:proofErr w:type="spellEnd"/>
      <w:r>
        <w:rPr>
          <w:rFonts w:ascii="Arial" w:hAnsi="Arial" w:cs="Arial"/>
          <w:szCs w:val="24"/>
        </w:rPr>
        <w:t xml:space="preserve">, and </w:t>
      </w:r>
      <w:proofErr w:type="spellStart"/>
      <w:r>
        <w:rPr>
          <w:rFonts w:ascii="Arial" w:hAnsi="Arial" w:cs="Arial"/>
          <w:szCs w:val="24"/>
        </w:rPr>
        <w:t>naltrexone</w:t>
      </w:r>
      <w:proofErr w:type="spellEnd"/>
      <w:r>
        <w:rPr>
          <w:rFonts w:ascii="Arial" w:hAnsi="Arial" w:cs="Arial"/>
          <w:szCs w:val="24"/>
        </w:rPr>
        <w:t>, and their respective salts, but including the following:</w:t>
      </w:r>
    </w:p>
    <w:p w:rsidR="005A5AD9" w:rsidRDefault="005A5AD9" w:rsidP="005A5AD9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4</w:t>
      </w:r>
      <w:r w:rsidRPr="00082D3C">
        <w:rPr>
          <w:rFonts w:ascii="Arial" w:hAnsi="Arial" w:cs="Arial"/>
          <w:b/>
          <w:szCs w:val="24"/>
        </w:rPr>
        <w:t>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>Section 124.20</w:t>
      </w:r>
      <w:r>
        <w:rPr>
          <w:rFonts w:ascii="Arial" w:hAnsi="Arial" w:cs="Arial"/>
          <w:szCs w:val="24"/>
        </w:rPr>
        <w:t>6, subsection 2, paragraph (d), is amended as follows:</w:t>
      </w:r>
    </w:p>
    <w:p w:rsidR="005A5AD9" w:rsidRPr="005A5AD9" w:rsidRDefault="005A5AD9" w:rsidP="005A5AD9">
      <w:pPr>
        <w:spacing w:line="480" w:lineRule="auto"/>
        <w:rPr>
          <w:rFonts w:ascii="Arial" w:hAnsi="Arial" w:cs="Arial"/>
          <w:szCs w:val="24"/>
        </w:rPr>
      </w:pPr>
      <w:r w:rsidRPr="005A5AD9">
        <w:rPr>
          <w:rFonts w:ascii="Arial" w:hAnsi="Arial" w:cs="Arial"/>
          <w:szCs w:val="24"/>
        </w:rPr>
        <w:tab/>
      </w:r>
      <w:r w:rsidRPr="005A5AD9">
        <w:rPr>
          <w:rFonts w:ascii="Arial" w:hAnsi="Arial" w:cs="Arial"/>
          <w:i/>
          <w:szCs w:val="24"/>
        </w:rPr>
        <w:t xml:space="preserve">d.   </w:t>
      </w:r>
      <w:r w:rsidRPr="005A5AD9">
        <w:rPr>
          <w:rFonts w:ascii="Arial" w:hAnsi="Arial" w:cs="Arial"/>
          <w:szCs w:val="24"/>
        </w:rPr>
        <w:t>Coca leaves and any  salt, compound, derivative, or  preparation of coca leaves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 xml:space="preserve">including cocaine and </w:t>
      </w:r>
      <w:proofErr w:type="spellStart"/>
      <w:r>
        <w:rPr>
          <w:rFonts w:ascii="Arial" w:hAnsi="Arial" w:cs="Arial"/>
          <w:szCs w:val="24"/>
          <w:u w:val="single"/>
        </w:rPr>
        <w:t>ecgonine</w:t>
      </w:r>
      <w:proofErr w:type="spellEnd"/>
      <w:r>
        <w:rPr>
          <w:rFonts w:ascii="Arial" w:hAnsi="Arial" w:cs="Arial"/>
          <w:szCs w:val="24"/>
          <w:u w:val="single"/>
        </w:rPr>
        <w:t xml:space="preserve"> and their salts, isomers, derivatives and salts of isomers and derivatives),</w:t>
      </w:r>
      <w:r>
        <w:rPr>
          <w:rFonts w:ascii="Arial" w:hAnsi="Arial" w:cs="Arial"/>
          <w:szCs w:val="24"/>
        </w:rPr>
        <w:t xml:space="preserve"> </w:t>
      </w:r>
      <w:r w:rsidRPr="005A5AD9">
        <w:rPr>
          <w:rFonts w:ascii="Arial" w:hAnsi="Arial" w:cs="Arial"/>
          <w:strike/>
          <w:szCs w:val="24"/>
        </w:rPr>
        <w:t xml:space="preserve">. </w:t>
      </w:r>
      <w:proofErr w:type="spellStart"/>
      <w:r w:rsidRPr="005A5AD9">
        <w:rPr>
          <w:rFonts w:ascii="Arial" w:hAnsi="Arial" w:cs="Arial"/>
          <w:strike/>
          <w:szCs w:val="24"/>
        </w:rPr>
        <w:t>Decocainized</w:t>
      </w:r>
      <w:proofErr w:type="spellEnd"/>
      <w:r w:rsidRPr="005A5AD9">
        <w:rPr>
          <w:rFonts w:ascii="Arial" w:hAnsi="Arial" w:cs="Arial"/>
          <w:strike/>
          <w:szCs w:val="24"/>
        </w:rPr>
        <w:t xml:space="preserve"> coca leaves </w:t>
      </w:r>
      <w:proofErr w:type="gramStart"/>
      <w:r w:rsidRPr="005A5AD9">
        <w:rPr>
          <w:rFonts w:ascii="Arial" w:hAnsi="Arial" w:cs="Arial"/>
          <w:strike/>
          <w:szCs w:val="24"/>
        </w:rPr>
        <w:t>or  extractions</w:t>
      </w:r>
      <w:proofErr w:type="gramEnd"/>
      <w:r w:rsidRPr="005A5AD9">
        <w:rPr>
          <w:rFonts w:ascii="Arial" w:hAnsi="Arial" w:cs="Arial"/>
          <w:strike/>
          <w:szCs w:val="24"/>
        </w:rPr>
        <w:t xml:space="preserve"> of  coca leaves, which extractions do  not  contain cocaine or  </w:t>
      </w:r>
      <w:proofErr w:type="spellStart"/>
      <w:r w:rsidRPr="005A5AD9">
        <w:rPr>
          <w:rFonts w:ascii="Arial" w:hAnsi="Arial" w:cs="Arial"/>
          <w:strike/>
          <w:szCs w:val="24"/>
        </w:rPr>
        <w:t>ecgonine</w:t>
      </w:r>
      <w:proofErr w:type="spellEnd"/>
      <w:r w:rsidRPr="005A5AD9">
        <w:rPr>
          <w:rFonts w:ascii="Arial" w:hAnsi="Arial" w:cs="Arial"/>
          <w:strike/>
          <w:szCs w:val="24"/>
        </w:rPr>
        <w:t>, are excluded from this paragraph.   The   following substances and their salts, optical and geometric isomers, derivatives, and salts of  derivatives and optical and geometric isomers,</w:t>
      </w:r>
      <w:r w:rsidRPr="005A5AD9">
        <w:rPr>
          <w:rFonts w:ascii="Arial" w:hAnsi="Arial" w:cs="Arial"/>
          <w:szCs w:val="24"/>
        </w:rPr>
        <w:t xml:space="preserve"> and any  salt, compound, derivative, or  preparation thereof that is chemically equivalent or identical to any  of such substances, </w:t>
      </w:r>
      <w:r w:rsidRPr="005A5AD9">
        <w:rPr>
          <w:rFonts w:ascii="Arial" w:hAnsi="Arial" w:cs="Arial"/>
          <w:strike/>
          <w:szCs w:val="24"/>
        </w:rPr>
        <w:t>are included in this paragraph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>except that the substances shall not include</w:t>
      </w:r>
      <w:r w:rsidRPr="005A5AD9">
        <w:rPr>
          <w:rFonts w:ascii="Arial" w:hAnsi="Arial" w:cs="Arial"/>
          <w:szCs w:val="24"/>
        </w:rPr>
        <w:t>:</w:t>
      </w:r>
    </w:p>
    <w:p w:rsidR="005A5AD9" w:rsidRDefault="005A5AD9" w:rsidP="005A5AD9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A5AD9">
        <w:rPr>
          <w:rFonts w:ascii="Arial" w:hAnsi="Arial" w:cs="Arial"/>
          <w:szCs w:val="24"/>
        </w:rPr>
        <w:t xml:space="preserve">(1)    </w:t>
      </w:r>
      <w:r w:rsidRPr="005A5AD9">
        <w:rPr>
          <w:rFonts w:ascii="Arial" w:hAnsi="Arial" w:cs="Arial"/>
          <w:strike/>
          <w:szCs w:val="24"/>
        </w:rPr>
        <w:t>Cocaine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  <w:u w:val="single"/>
        </w:rPr>
        <w:t>Decocainized</w:t>
      </w:r>
      <w:proofErr w:type="spellEnd"/>
      <w:r>
        <w:rPr>
          <w:rFonts w:ascii="Arial" w:hAnsi="Arial" w:cs="Arial"/>
          <w:szCs w:val="24"/>
          <w:u w:val="single"/>
        </w:rPr>
        <w:t xml:space="preserve"> coca leaves or extraction of coca leaves, which extractions do not contain cocaine or </w:t>
      </w:r>
      <w:proofErr w:type="spellStart"/>
      <w:r>
        <w:rPr>
          <w:rFonts w:ascii="Arial" w:hAnsi="Arial" w:cs="Arial"/>
          <w:szCs w:val="24"/>
          <w:u w:val="single"/>
        </w:rPr>
        <w:t>ecgonine</w:t>
      </w:r>
      <w:proofErr w:type="spellEnd"/>
      <w:r w:rsidRPr="005A5AD9">
        <w:rPr>
          <w:rFonts w:ascii="Arial" w:hAnsi="Arial" w:cs="Arial"/>
          <w:szCs w:val="24"/>
        </w:rPr>
        <w:t xml:space="preserve">. </w:t>
      </w:r>
    </w:p>
    <w:p w:rsidR="005A5AD9" w:rsidRPr="005A5AD9" w:rsidRDefault="005A5AD9" w:rsidP="005A5AD9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5A5AD9">
        <w:rPr>
          <w:rFonts w:ascii="Arial" w:hAnsi="Arial" w:cs="Arial"/>
          <w:szCs w:val="24"/>
        </w:rPr>
        <w:t xml:space="preserve">(2)    </w:t>
      </w:r>
      <w:proofErr w:type="spellStart"/>
      <w:r w:rsidRPr="005A5AD9">
        <w:rPr>
          <w:rFonts w:ascii="Arial" w:hAnsi="Arial" w:cs="Arial"/>
          <w:strike/>
          <w:szCs w:val="24"/>
        </w:rPr>
        <w:t>Ecgonine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u w:val="single"/>
        </w:rPr>
        <w:t>[\123\I]</w:t>
      </w:r>
      <w:proofErr w:type="spellStart"/>
      <w:r>
        <w:rPr>
          <w:rFonts w:ascii="Arial" w:hAnsi="Arial" w:cs="Arial"/>
          <w:szCs w:val="24"/>
          <w:u w:val="single"/>
        </w:rPr>
        <w:t>ioflupane</w:t>
      </w:r>
      <w:proofErr w:type="spellEnd"/>
      <w:r w:rsidRPr="005A5AD9">
        <w:rPr>
          <w:rFonts w:ascii="Arial" w:hAnsi="Arial" w:cs="Arial"/>
          <w:szCs w:val="24"/>
        </w:rPr>
        <w:t>.</w:t>
      </w:r>
    </w:p>
    <w:p w:rsidR="00847FD5" w:rsidRPr="00082D3C" w:rsidRDefault="00847FD5" w:rsidP="00082D3C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</w:t>
      </w:r>
      <w:r w:rsidR="005A5AD9">
        <w:rPr>
          <w:rFonts w:ascii="Arial" w:hAnsi="Arial" w:cs="Arial"/>
          <w:b/>
          <w:szCs w:val="24"/>
        </w:rPr>
        <w:t>5</w:t>
      </w:r>
      <w:r w:rsidRPr="00082D3C">
        <w:rPr>
          <w:rFonts w:ascii="Arial" w:hAnsi="Arial" w:cs="Arial"/>
          <w:b/>
          <w:szCs w:val="24"/>
        </w:rPr>
        <w:t>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 xml:space="preserve">Section 124.208, subsection 5, paragraph (a), </w:t>
      </w:r>
      <w:r w:rsidRPr="00082D3C">
        <w:rPr>
          <w:rFonts w:ascii="Arial" w:hAnsi="Arial" w:cs="Arial"/>
          <w:color w:val="000000"/>
          <w:szCs w:val="24"/>
          <w:u w:color="000000"/>
        </w:rPr>
        <w:t>subparagraphs (3) and (4)</w:t>
      </w:r>
      <w:r w:rsidR="00C9599D">
        <w:rPr>
          <w:rFonts w:ascii="Arial" w:hAnsi="Arial" w:cs="Arial"/>
          <w:color w:val="000000"/>
          <w:szCs w:val="24"/>
          <w:u w:color="000000"/>
        </w:rPr>
        <w:t>, Code 2015, are amended by striking the</w:t>
      </w:r>
      <w:r w:rsidRPr="00082D3C">
        <w:rPr>
          <w:rFonts w:ascii="Arial" w:hAnsi="Arial" w:cs="Arial"/>
          <w:color w:val="000000"/>
          <w:szCs w:val="24"/>
          <w:u w:color="000000"/>
        </w:rPr>
        <w:t xml:space="preserve"> subparagraphs.</w:t>
      </w:r>
    </w:p>
    <w:p w:rsidR="00847FD5" w:rsidRPr="00082D3C" w:rsidRDefault="00847FD5" w:rsidP="00082D3C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</w:t>
      </w:r>
      <w:r w:rsidR="005A5AD9">
        <w:rPr>
          <w:rFonts w:ascii="Arial" w:hAnsi="Arial" w:cs="Arial"/>
          <w:b/>
          <w:szCs w:val="24"/>
        </w:rPr>
        <w:t>6</w:t>
      </w:r>
      <w:r w:rsidRPr="00082D3C">
        <w:rPr>
          <w:rFonts w:ascii="Arial" w:hAnsi="Arial" w:cs="Arial"/>
          <w:b/>
          <w:szCs w:val="24"/>
        </w:rPr>
        <w:t>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>Section 124.2</w:t>
      </w:r>
      <w:r w:rsidR="004874D4" w:rsidRPr="00082D3C">
        <w:rPr>
          <w:rFonts w:ascii="Arial" w:hAnsi="Arial" w:cs="Arial"/>
          <w:szCs w:val="24"/>
        </w:rPr>
        <w:t>10</w:t>
      </w:r>
      <w:r w:rsidRPr="00082D3C">
        <w:rPr>
          <w:rFonts w:ascii="Arial" w:hAnsi="Arial" w:cs="Arial"/>
          <w:szCs w:val="24"/>
        </w:rPr>
        <w:t xml:space="preserve">, subsection </w:t>
      </w:r>
      <w:r w:rsidR="004874D4" w:rsidRPr="00082D3C">
        <w:rPr>
          <w:rFonts w:ascii="Arial" w:hAnsi="Arial" w:cs="Arial"/>
          <w:szCs w:val="24"/>
        </w:rPr>
        <w:t>2</w:t>
      </w:r>
      <w:r w:rsidRPr="00082D3C">
        <w:rPr>
          <w:rFonts w:ascii="Arial" w:hAnsi="Arial" w:cs="Arial"/>
          <w:szCs w:val="24"/>
        </w:rPr>
        <w:t>, Code 2015, is amended by adding the following new paragraph:</w:t>
      </w:r>
    </w:p>
    <w:p w:rsidR="00847FD5" w:rsidRPr="00082D3C" w:rsidRDefault="00082D3C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c</w:t>
      </w:r>
      <w:r w:rsidRPr="00082D3C">
        <w:rPr>
          <w:rFonts w:ascii="Arial" w:hAnsi="Arial" w:cs="Arial"/>
          <w:szCs w:val="24"/>
        </w:rPr>
        <w:t>.</w:t>
      </w:r>
      <w:r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r w:rsidR="00847FD5" w:rsidRPr="00082D3C">
        <w:rPr>
          <w:rFonts w:ascii="Arial" w:hAnsi="Arial" w:cs="Arial"/>
          <w:color w:val="000000"/>
          <w:szCs w:val="24"/>
          <w:u w:color="000000"/>
        </w:rPr>
        <w:t>2-[(</w:t>
      </w:r>
      <w:proofErr w:type="spellStart"/>
      <w:r w:rsidR="00847FD5" w:rsidRPr="00082D3C">
        <w:rPr>
          <w:rFonts w:ascii="Arial" w:hAnsi="Arial" w:cs="Arial"/>
          <w:color w:val="000000"/>
          <w:szCs w:val="24"/>
          <w:u w:color="000000"/>
        </w:rPr>
        <w:t>dimethylamino</w:t>
      </w:r>
      <w:proofErr w:type="spellEnd"/>
      <w:proofErr w:type="gramStart"/>
      <w:r w:rsidR="00847FD5" w:rsidRPr="00082D3C">
        <w:rPr>
          <w:rFonts w:ascii="Arial" w:hAnsi="Arial" w:cs="Arial"/>
          <w:color w:val="000000"/>
          <w:szCs w:val="24"/>
          <w:u w:color="000000"/>
        </w:rPr>
        <w:t>)methyl</w:t>
      </w:r>
      <w:proofErr w:type="gramEnd"/>
      <w:r w:rsidR="00847FD5" w:rsidRPr="00082D3C">
        <w:rPr>
          <w:rFonts w:ascii="Arial" w:hAnsi="Arial" w:cs="Arial"/>
          <w:color w:val="000000"/>
          <w:szCs w:val="24"/>
          <w:u w:color="000000"/>
        </w:rPr>
        <w:t>]-1-(3-methoxyphenyl)</w:t>
      </w:r>
      <w:proofErr w:type="spellStart"/>
      <w:r w:rsidR="00847FD5" w:rsidRPr="00082D3C">
        <w:rPr>
          <w:rFonts w:ascii="Arial" w:hAnsi="Arial" w:cs="Arial"/>
          <w:color w:val="000000"/>
          <w:szCs w:val="24"/>
          <w:u w:color="000000"/>
        </w:rPr>
        <w:t>cyclohexanol</w:t>
      </w:r>
      <w:proofErr w:type="spellEnd"/>
      <w:r w:rsidR="00847FD5" w:rsidRPr="00082D3C">
        <w:rPr>
          <w:rFonts w:ascii="Arial" w:hAnsi="Arial" w:cs="Arial"/>
          <w:color w:val="000000"/>
          <w:szCs w:val="24"/>
          <w:u w:color="000000"/>
        </w:rPr>
        <w:t xml:space="preserve">, its salts, optical and geometric isomers and salts of these isomers (including </w:t>
      </w:r>
      <w:proofErr w:type="spellStart"/>
      <w:r w:rsidR="00847FD5" w:rsidRPr="00082D3C">
        <w:rPr>
          <w:rFonts w:ascii="Arial" w:hAnsi="Arial" w:cs="Arial"/>
          <w:color w:val="000000"/>
          <w:szCs w:val="24"/>
          <w:u w:color="000000"/>
        </w:rPr>
        <w:t>tramadol</w:t>
      </w:r>
      <w:proofErr w:type="spellEnd"/>
      <w:r w:rsidR="00847FD5" w:rsidRPr="00082D3C">
        <w:rPr>
          <w:rFonts w:ascii="Arial" w:hAnsi="Arial" w:cs="Arial"/>
          <w:color w:val="000000"/>
          <w:szCs w:val="24"/>
          <w:u w:color="000000"/>
        </w:rPr>
        <w:t>).</w:t>
      </w:r>
    </w:p>
    <w:p w:rsidR="00847FD5" w:rsidRPr="00082D3C" w:rsidRDefault="00847FD5" w:rsidP="00082D3C">
      <w:pPr>
        <w:spacing w:line="480" w:lineRule="auto"/>
        <w:rPr>
          <w:rFonts w:ascii="Arial" w:hAnsi="Arial" w:cs="Arial"/>
          <w:szCs w:val="24"/>
        </w:rPr>
      </w:pPr>
      <w:r w:rsidRPr="00082D3C">
        <w:rPr>
          <w:rFonts w:ascii="Arial" w:hAnsi="Arial" w:cs="Arial"/>
          <w:b/>
          <w:szCs w:val="24"/>
        </w:rPr>
        <w:tab/>
      </w:r>
      <w:proofErr w:type="gramStart"/>
      <w:r w:rsidRPr="00082D3C">
        <w:rPr>
          <w:rFonts w:ascii="Arial" w:hAnsi="Arial" w:cs="Arial"/>
          <w:b/>
          <w:szCs w:val="24"/>
        </w:rPr>
        <w:t>Sec</w:t>
      </w:r>
      <w:r w:rsidR="007050E1">
        <w:rPr>
          <w:rFonts w:ascii="Arial" w:hAnsi="Arial" w:cs="Arial"/>
          <w:b/>
          <w:szCs w:val="24"/>
        </w:rPr>
        <w:t>.</w:t>
      </w:r>
      <w:r w:rsidRPr="00082D3C">
        <w:rPr>
          <w:rFonts w:ascii="Arial" w:hAnsi="Arial" w:cs="Arial"/>
          <w:b/>
          <w:szCs w:val="24"/>
        </w:rPr>
        <w:t xml:space="preserve"> </w:t>
      </w:r>
      <w:r w:rsidR="005A5AD9">
        <w:rPr>
          <w:rFonts w:ascii="Arial" w:hAnsi="Arial" w:cs="Arial"/>
          <w:b/>
          <w:szCs w:val="24"/>
        </w:rPr>
        <w:t>7</w:t>
      </w:r>
      <w:r w:rsidRPr="00082D3C">
        <w:rPr>
          <w:rFonts w:ascii="Arial" w:hAnsi="Arial" w:cs="Arial"/>
          <w:b/>
          <w:szCs w:val="24"/>
        </w:rPr>
        <w:t>.</w:t>
      </w:r>
      <w:proofErr w:type="gramEnd"/>
      <w:r w:rsidRPr="00082D3C">
        <w:rPr>
          <w:rFonts w:ascii="Arial" w:hAnsi="Arial" w:cs="Arial"/>
          <w:b/>
          <w:szCs w:val="24"/>
        </w:rPr>
        <w:t xml:space="preserve"> </w:t>
      </w:r>
      <w:r w:rsidRPr="00082D3C">
        <w:rPr>
          <w:rFonts w:ascii="Arial" w:hAnsi="Arial" w:cs="Arial"/>
          <w:szCs w:val="24"/>
        </w:rPr>
        <w:t>Section 124.2</w:t>
      </w:r>
      <w:r w:rsidR="004874D4" w:rsidRPr="00082D3C">
        <w:rPr>
          <w:rFonts w:ascii="Arial" w:hAnsi="Arial" w:cs="Arial"/>
          <w:szCs w:val="24"/>
        </w:rPr>
        <w:t>10</w:t>
      </w:r>
      <w:r w:rsidRPr="00082D3C">
        <w:rPr>
          <w:rFonts w:ascii="Arial" w:hAnsi="Arial" w:cs="Arial"/>
          <w:szCs w:val="24"/>
        </w:rPr>
        <w:t xml:space="preserve">, subsection </w:t>
      </w:r>
      <w:r w:rsidR="004874D4" w:rsidRPr="00082D3C">
        <w:rPr>
          <w:rFonts w:ascii="Arial" w:hAnsi="Arial" w:cs="Arial"/>
          <w:szCs w:val="24"/>
        </w:rPr>
        <w:t>3</w:t>
      </w:r>
      <w:r w:rsidRPr="00082D3C">
        <w:rPr>
          <w:rFonts w:ascii="Arial" w:hAnsi="Arial" w:cs="Arial"/>
          <w:szCs w:val="24"/>
        </w:rPr>
        <w:t>, Code 2015, is amended by adding the following new paragraphs:</w:t>
      </w:r>
    </w:p>
    <w:p w:rsidR="00847FD5" w:rsidRPr="00082D3C" w:rsidRDefault="004874D4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bb</w:t>
      </w:r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r w:rsidR="00847FD5" w:rsidRPr="00082D3C">
        <w:rPr>
          <w:rFonts w:ascii="Arial" w:hAnsi="Arial" w:cs="Arial"/>
          <w:color w:val="000000"/>
          <w:szCs w:val="24"/>
          <w:u w:color="000000"/>
        </w:rPr>
        <w:t>Alfaxalone</w:t>
      </w:r>
      <w:proofErr w:type="spellEnd"/>
      <w:r w:rsidR="00847FD5" w:rsidRPr="00082D3C">
        <w:rPr>
          <w:rFonts w:ascii="Arial" w:hAnsi="Arial" w:cs="Arial"/>
          <w:color w:val="000000"/>
          <w:szCs w:val="24"/>
          <w:u w:color="000000"/>
        </w:rPr>
        <w:t>.</w:t>
      </w:r>
    </w:p>
    <w:p w:rsidR="00847FD5" w:rsidRPr="00082D3C" w:rsidRDefault="004874D4" w:rsidP="00082D3C">
      <w:pPr>
        <w:tabs>
          <w:tab w:val="left" w:pos="340"/>
          <w:tab w:val="left" w:pos="68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</w:rPr>
        <w:tab/>
      </w:r>
      <w:r w:rsidRPr="00082D3C">
        <w:rPr>
          <w:rFonts w:ascii="Arial" w:hAnsi="Arial" w:cs="Arial"/>
          <w:szCs w:val="24"/>
          <w:u w:val="single"/>
        </w:rPr>
        <w:t>NEW PARAGRAPH:</w:t>
      </w:r>
      <w:r w:rsidR="00082D3C" w:rsidRPr="00082D3C">
        <w:rPr>
          <w:rFonts w:ascii="Arial" w:hAnsi="Arial" w:cs="Arial"/>
          <w:szCs w:val="24"/>
        </w:rPr>
        <w:t xml:space="preserve">  </w:t>
      </w:r>
      <w:proofErr w:type="spellStart"/>
      <w:proofErr w:type="gramStart"/>
      <w:r w:rsidR="00C9599D">
        <w:rPr>
          <w:rFonts w:ascii="Arial" w:hAnsi="Arial" w:cs="Arial"/>
          <w:szCs w:val="24"/>
        </w:rPr>
        <w:t>bc</w:t>
      </w:r>
      <w:proofErr w:type="spellEnd"/>
      <w:proofErr w:type="gramEnd"/>
      <w:r w:rsidR="00082D3C" w:rsidRPr="00082D3C">
        <w:rPr>
          <w:rFonts w:ascii="Arial" w:hAnsi="Arial" w:cs="Arial"/>
          <w:szCs w:val="24"/>
        </w:rPr>
        <w:t>.</w:t>
      </w:r>
      <w:r w:rsidR="00082D3C" w:rsidRPr="00082D3C">
        <w:rPr>
          <w:rFonts w:ascii="Arial" w:hAnsi="Arial" w:cs="Arial"/>
          <w:iCs/>
          <w:snapToGrid/>
          <w:color w:val="000000"/>
          <w:szCs w:val="24"/>
          <w:u w:color="000000"/>
        </w:rPr>
        <w:t xml:space="preserve"> </w:t>
      </w:r>
      <w:proofErr w:type="spellStart"/>
      <w:r w:rsidR="00847FD5" w:rsidRPr="00082D3C">
        <w:rPr>
          <w:rFonts w:ascii="Arial" w:hAnsi="Arial" w:cs="Arial"/>
          <w:color w:val="000000"/>
          <w:szCs w:val="24"/>
          <w:u w:color="000000"/>
        </w:rPr>
        <w:t>Suvorexant</w:t>
      </w:r>
      <w:proofErr w:type="spellEnd"/>
      <w:r w:rsidR="00847FD5" w:rsidRPr="00082D3C">
        <w:rPr>
          <w:rFonts w:ascii="Arial" w:hAnsi="Arial" w:cs="Arial"/>
          <w:color w:val="000000"/>
          <w:szCs w:val="24"/>
          <w:u w:color="000000"/>
        </w:rPr>
        <w:t>.</w:t>
      </w:r>
    </w:p>
    <w:bookmarkEnd w:id="1"/>
    <w:p w:rsidR="00274116" w:rsidRPr="00082D3C" w:rsidRDefault="00274116" w:rsidP="00852FD8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082D3C">
        <w:rPr>
          <w:rFonts w:ascii="Arial" w:hAnsi="Arial" w:cs="Arial"/>
          <w:b/>
          <w:szCs w:val="24"/>
        </w:rPr>
        <w:t>EXPLANATION</w:t>
      </w:r>
    </w:p>
    <w:p w:rsidR="00365905" w:rsidRPr="00082D3C" w:rsidRDefault="006600D4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>Th</w:t>
      </w:r>
      <w:r w:rsidR="00C9599D">
        <w:rPr>
          <w:rFonts w:ascii="Arial" w:hAnsi="Arial" w:cs="Arial"/>
          <w:szCs w:val="24"/>
        </w:rPr>
        <w:t>e</w:t>
      </w:r>
      <w:r w:rsidRPr="00082D3C">
        <w:rPr>
          <w:rFonts w:ascii="Arial" w:hAnsi="Arial" w:cs="Arial"/>
          <w:szCs w:val="24"/>
        </w:rPr>
        <w:t xml:space="preserve"> bill </w:t>
      </w:r>
      <w:r w:rsidR="00C9599D">
        <w:rPr>
          <w:rFonts w:ascii="Arial" w:hAnsi="Arial" w:cs="Arial"/>
          <w:szCs w:val="24"/>
        </w:rPr>
        <w:t>modifies the</w:t>
      </w:r>
      <w:r w:rsidR="00542DE5" w:rsidRPr="00082D3C">
        <w:rPr>
          <w:rFonts w:ascii="Arial" w:hAnsi="Arial" w:cs="Arial"/>
          <w:szCs w:val="24"/>
        </w:rPr>
        <w:t xml:space="preserve"> </w:t>
      </w:r>
      <w:r w:rsidR="00676447" w:rsidRPr="00082D3C">
        <w:rPr>
          <w:rFonts w:ascii="Arial" w:hAnsi="Arial" w:cs="Arial"/>
          <w:szCs w:val="24"/>
        </w:rPr>
        <w:t>controlled substance</w:t>
      </w:r>
      <w:r w:rsidR="00542DE5" w:rsidRPr="00082D3C">
        <w:rPr>
          <w:rFonts w:ascii="Arial" w:hAnsi="Arial" w:cs="Arial"/>
          <w:szCs w:val="24"/>
        </w:rPr>
        <w:t xml:space="preserve"> schedule</w:t>
      </w:r>
      <w:r w:rsidR="005D43A3" w:rsidRPr="00082D3C">
        <w:rPr>
          <w:rFonts w:ascii="Arial" w:hAnsi="Arial" w:cs="Arial"/>
          <w:szCs w:val="24"/>
        </w:rPr>
        <w:t>s</w:t>
      </w:r>
      <w:r w:rsidR="00542DE5" w:rsidRPr="00082D3C">
        <w:rPr>
          <w:rFonts w:ascii="Arial" w:hAnsi="Arial" w:cs="Arial"/>
          <w:szCs w:val="24"/>
        </w:rPr>
        <w:t xml:space="preserve"> and </w:t>
      </w:r>
      <w:r w:rsidR="00C9599D">
        <w:rPr>
          <w:rFonts w:ascii="Arial" w:hAnsi="Arial" w:cs="Arial"/>
          <w:szCs w:val="24"/>
        </w:rPr>
        <w:t>provides</w:t>
      </w:r>
      <w:r w:rsidR="00542DE5" w:rsidRPr="00082D3C">
        <w:rPr>
          <w:rFonts w:ascii="Arial" w:hAnsi="Arial" w:cs="Arial"/>
          <w:szCs w:val="24"/>
        </w:rPr>
        <w:t xml:space="preserve"> penalties</w:t>
      </w:r>
      <w:r w:rsidR="00804466" w:rsidRPr="00082D3C">
        <w:rPr>
          <w:rFonts w:ascii="Arial" w:hAnsi="Arial" w:cs="Arial"/>
          <w:szCs w:val="24"/>
        </w:rPr>
        <w:t>.</w:t>
      </w:r>
    </w:p>
    <w:p w:rsidR="005D43A3" w:rsidRPr="00082D3C" w:rsidRDefault="005D43A3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 xml:space="preserve">The bill </w:t>
      </w:r>
      <w:r w:rsidR="00B622AB">
        <w:rPr>
          <w:rFonts w:ascii="Arial" w:hAnsi="Arial" w:cs="Arial"/>
          <w:szCs w:val="24"/>
        </w:rPr>
        <w:t xml:space="preserve">adds </w:t>
      </w:r>
      <w:r w:rsidR="00C9599D">
        <w:rPr>
          <w:rFonts w:ascii="Arial" w:hAnsi="Arial" w:cs="Arial"/>
          <w:szCs w:val="24"/>
        </w:rPr>
        <w:t>10</w:t>
      </w:r>
      <w:r w:rsidR="00B622AB">
        <w:rPr>
          <w:rFonts w:ascii="Arial" w:hAnsi="Arial" w:cs="Arial"/>
          <w:szCs w:val="24"/>
        </w:rPr>
        <w:t xml:space="preserve"> synthetic </w:t>
      </w:r>
      <w:proofErr w:type="spellStart"/>
      <w:r w:rsidR="00B622AB">
        <w:rPr>
          <w:rFonts w:ascii="Arial" w:hAnsi="Arial" w:cs="Arial"/>
          <w:szCs w:val="24"/>
        </w:rPr>
        <w:t>cathinones</w:t>
      </w:r>
      <w:proofErr w:type="spellEnd"/>
      <w:r w:rsidR="00CE1CFC">
        <w:rPr>
          <w:rFonts w:ascii="Arial" w:hAnsi="Arial" w:cs="Arial"/>
          <w:szCs w:val="24"/>
        </w:rPr>
        <w:t>,</w:t>
      </w:r>
      <w:r w:rsidR="00B622AB">
        <w:rPr>
          <w:rFonts w:ascii="Arial" w:hAnsi="Arial" w:cs="Arial"/>
          <w:szCs w:val="24"/>
        </w:rPr>
        <w:t xml:space="preserve"> </w:t>
      </w:r>
      <w:r w:rsidR="00C3104C">
        <w:rPr>
          <w:rFonts w:ascii="Arial" w:hAnsi="Arial" w:cs="Arial"/>
          <w:szCs w:val="24"/>
        </w:rPr>
        <w:t>eight</w:t>
      </w:r>
      <w:r w:rsidR="00B622AB">
        <w:rPr>
          <w:rFonts w:ascii="Arial" w:hAnsi="Arial" w:cs="Arial"/>
          <w:szCs w:val="24"/>
        </w:rPr>
        <w:t xml:space="preserve"> synthetic </w:t>
      </w:r>
      <w:proofErr w:type="spellStart"/>
      <w:r w:rsidR="00B622AB">
        <w:rPr>
          <w:rFonts w:ascii="Arial" w:hAnsi="Arial" w:cs="Arial"/>
          <w:szCs w:val="24"/>
        </w:rPr>
        <w:t>cannabinoids</w:t>
      </w:r>
      <w:proofErr w:type="spellEnd"/>
      <w:r w:rsidR="00CE1CFC">
        <w:rPr>
          <w:rFonts w:ascii="Arial" w:hAnsi="Arial" w:cs="Arial"/>
          <w:szCs w:val="24"/>
        </w:rPr>
        <w:t xml:space="preserve">, and acetyl </w:t>
      </w:r>
      <w:proofErr w:type="spellStart"/>
      <w:r w:rsidR="00CE1CFC">
        <w:rPr>
          <w:rFonts w:ascii="Arial" w:hAnsi="Arial" w:cs="Arial"/>
          <w:szCs w:val="24"/>
        </w:rPr>
        <w:t>fentanyl</w:t>
      </w:r>
      <w:proofErr w:type="spellEnd"/>
      <w:r w:rsidR="00B622AB">
        <w:rPr>
          <w:rFonts w:ascii="Arial" w:hAnsi="Arial" w:cs="Arial"/>
          <w:szCs w:val="24"/>
        </w:rPr>
        <w:t xml:space="preserve"> to </w:t>
      </w:r>
      <w:r w:rsidR="00C9599D">
        <w:rPr>
          <w:rFonts w:ascii="Arial" w:hAnsi="Arial" w:cs="Arial"/>
          <w:szCs w:val="24"/>
        </w:rPr>
        <w:t>the list of substances classified as s</w:t>
      </w:r>
      <w:r w:rsidR="00B622AB">
        <w:rPr>
          <w:rFonts w:ascii="Arial" w:hAnsi="Arial" w:cs="Arial"/>
          <w:szCs w:val="24"/>
        </w:rPr>
        <w:t xml:space="preserve">chedule I </w:t>
      </w:r>
      <w:r w:rsidR="00C9599D">
        <w:rPr>
          <w:rFonts w:ascii="Arial" w:hAnsi="Arial" w:cs="Arial"/>
          <w:szCs w:val="24"/>
        </w:rPr>
        <w:t>controlled substances</w:t>
      </w:r>
      <w:r w:rsidR="00B622AB">
        <w:rPr>
          <w:rFonts w:ascii="Arial" w:hAnsi="Arial" w:cs="Arial"/>
          <w:szCs w:val="24"/>
        </w:rPr>
        <w:t xml:space="preserve">. </w:t>
      </w:r>
      <w:r w:rsidR="006C51BA" w:rsidRPr="00082D3C">
        <w:rPr>
          <w:rFonts w:ascii="Arial" w:hAnsi="Arial" w:cs="Arial"/>
          <w:szCs w:val="24"/>
        </w:rPr>
        <w:t xml:space="preserve">The </w:t>
      </w:r>
      <w:r w:rsidR="00C9599D">
        <w:rPr>
          <w:rFonts w:ascii="Arial" w:hAnsi="Arial" w:cs="Arial"/>
          <w:szCs w:val="24"/>
        </w:rPr>
        <w:t>b</w:t>
      </w:r>
      <w:r w:rsidR="006C51BA" w:rsidRPr="00082D3C">
        <w:rPr>
          <w:rFonts w:ascii="Arial" w:hAnsi="Arial" w:cs="Arial"/>
          <w:szCs w:val="24"/>
        </w:rPr>
        <w:t>oard</w:t>
      </w:r>
      <w:r w:rsidRPr="00082D3C">
        <w:rPr>
          <w:rFonts w:ascii="Arial" w:hAnsi="Arial" w:cs="Arial"/>
          <w:szCs w:val="24"/>
        </w:rPr>
        <w:t xml:space="preserve"> </w:t>
      </w:r>
      <w:r w:rsidR="00C9599D">
        <w:rPr>
          <w:rFonts w:ascii="Arial" w:hAnsi="Arial" w:cs="Arial"/>
          <w:szCs w:val="24"/>
        </w:rPr>
        <w:t xml:space="preserve">of pharmacy </w:t>
      </w:r>
      <w:r w:rsidRPr="00082D3C">
        <w:rPr>
          <w:rFonts w:ascii="Arial" w:hAnsi="Arial" w:cs="Arial"/>
          <w:szCs w:val="24"/>
        </w:rPr>
        <w:t>has determined that these substances</w:t>
      </w:r>
      <w:r w:rsidR="006C51BA" w:rsidRPr="00082D3C">
        <w:rPr>
          <w:rFonts w:ascii="Arial" w:hAnsi="Arial" w:cs="Arial"/>
          <w:szCs w:val="24"/>
        </w:rPr>
        <w:t xml:space="preserve"> should be classified as </w:t>
      </w:r>
      <w:r w:rsidR="00C9599D">
        <w:rPr>
          <w:rFonts w:ascii="Arial" w:hAnsi="Arial" w:cs="Arial"/>
          <w:szCs w:val="24"/>
        </w:rPr>
        <w:t>s</w:t>
      </w:r>
      <w:r w:rsidR="006C51BA" w:rsidRPr="00B622AB">
        <w:rPr>
          <w:rFonts w:ascii="Arial" w:hAnsi="Arial" w:cs="Arial"/>
          <w:szCs w:val="24"/>
        </w:rPr>
        <w:t>chedule I</w:t>
      </w:r>
      <w:r w:rsidR="006C51BA" w:rsidRPr="00082D3C">
        <w:rPr>
          <w:rFonts w:ascii="Arial" w:hAnsi="Arial" w:cs="Arial"/>
          <w:szCs w:val="24"/>
        </w:rPr>
        <w:t xml:space="preserve"> controlled substances because each substance</w:t>
      </w:r>
      <w:r w:rsidRPr="00082D3C">
        <w:rPr>
          <w:rFonts w:ascii="Arial" w:hAnsi="Arial" w:cs="Arial"/>
          <w:szCs w:val="24"/>
        </w:rPr>
        <w:t xml:space="preserve"> </w:t>
      </w:r>
      <w:r w:rsidRPr="00B622AB">
        <w:rPr>
          <w:rFonts w:ascii="Arial" w:hAnsi="Arial" w:cs="Arial"/>
          <w:szCs w:val="24"/>
        </w:rPr>
        <w:t>ha</w:t>
      </w:r>
      <w:r w:rsidR="006C51BA" w:rsidRPr="00B622AB">
        <w:rPr>
          <w:rFonts w:ascii="Arial" w:hAnsi="Arial" w:cs="Arial"/>
          <w:szCs w:val="24"/>
        </w:rPr>
        <w:t>s</w:t>
      </w:r>
      <w:r w:rsidRPr="00B622AB">
        <w:rPr>
          <w:rFonts w:ascii="Arial" w:hAnsi="Arial" w:cs="Arial"/>
          <w:szCs w:val="24"/>
        </w:rPr>
        <w:t xml:space="preserve"> a high potential for abuse and </w:t>
      </w:r>
      <w:r w:rsidR="00592D28" w:rsidRPr="00B622AB">
        <w:rPr>
          <w:rFonts w:ascii="Arial" w:hAnsi="Arial" w:cs="Arial"/>
          <w:szCs w:val="24"/>
        </w:rPr>
        <w:t>no</w:t>
      </w:r>
      <w:r w:rsidR="006C51BA" w:rsidRPr="00B622AB">
        <w:rPr>
          <w:rFonts w:ascii="Arial" w:hAnsi="Arial" w:cs="Arial"/>
          <w:szCs w:val="24"/>
        </w:rPr>
        <w:t xml:space="preserve"> accepted</w:t>
      </w:r>
      <w:r w:rsidRPr="00B622AB">
        <w:rPr>
          <w:rFonts w:ascii="Arial" w:hAnsi="Arial" w:cs="Arial"/>
          <w:szCs w:val="24"/>
        </w:rPr>
        <w:t xml:space="preserve"> medical use in the United States</w:t>
      </w:r>
      <w:r w:rsidRPr="00082D3C">
        <w:rPr>
          <w:rFonts w:ascii="Arial" w:hAnsi="Arial" w:cs="Arial"/>
          <w:szCs w:val="24"/>
        </w:rPr>
        <w:t>.</w:t>
      </w:r>
    </w:p>
    <w:p w:rsidR="00446822" w:rsidRDefault="00365905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 xml:space="preserve">The bill </w:t>
      </w:r>
      <w:r w:rsidR="00B622AB">
        <w:rPr>
          <w:rFonts w:ascii="Arial" w:hAnsi="Arial" w:cs="Arial"/>
          <w:szCs w:val="24"/>
        </w:rPr>
        <w:t>removes hydrocodone-combination products</w:t>
      </w:r>
      <w:r w:rsidR="00C9599D">
        <w:rPr>
          <w:rFonts w:ascii="Arial" w:hAnsi="Arial" w:cs="Arial"/>
          <w:szCs w:val="24"/>
        </w:rPr>
        <w:t xml:space="preserve"> from the list of substances classified as s</w:t>
      </w:r>
      <w:r w:rsidR="00B622AB">
        <w:rPr>
          <w:rFonts w:ascii="Arial" w:hAnsi="Arial" w:cs="Arial"/>
          <w:szCs w:val="24"/>
        </w:rPr>
        <w:t>chedule III controlled substances</w:t>
      </w:r>
      <w:r w:rsidR="00852FD8">
        <w:rPr>
          <w:rFonts w:ascii="Arial" w:hAnsi="Arial" w:cs="Arial"/>
          <w:szCs w:val="24"/>
        </w:rPr>
        <w:t>.</w:t>
      </w:r>
      <w:r w:rsidR="00B622AB">
        <w:rPr>
          <w:rFonts w:ascii="Arial" w:hAnsi="Arial" w:cs="Arial"/>
          <w:szCs w:val="24"/>
        </w:rPr>
        <w:t xml:space="preserve"> </w:t>
      </w:r>
      <w:r w:rsidR="00852FD8">
        <w:rPr>
          <w:rFonts w:ascii="Arial" w:hAnsi="Arial" w:cs="Arial"/>
          <w:szCs w:val="24"/>
        </w:rPr>
        <w:t xml:space="preserve">Hydrocodone, as a single-entity substance, is currently </w:t>
      </w:r>
      <w:r w:rsidR="00C9599D">
        <w:rPr>
          <w:rFonts w:ascii="Arial" w:hAnsi="Arial" w:cs="Arial"/>
          <w:szCs w:val="24"/>
        </w:rPr>
        <w:t xml:space="preserve">classified as </w:t>
      </w:r>
      <w:r w:rsidR="00852FD8">
        <w:rPr>
          <w:rFonts w:ascii="Arial" w:hAnsi="Arial" w:cs="Arial"/>
          <w:szCs w:val="24"/>
        </w:rPr>
        <w:t xml:space="preserve">a </w:t>
      </w:r>
      <w:r w:rsidR="00C9599D">
        <w:rPr>
          <w:rFonts w:ascii="Arial" w:hAnsi="Arial" w:cs="Arial"/>
          <w:szCs w:val="24"/>
        </w:rPr>
        <w:t>s</w:t>
      </w:r>
      <w:r w:rsidR="00852FD8">
        <w:rPr>
          <w:rFonts w:ascii="Arial" w:hAnsi="Arial" w:cs="Arial"/>
          <w:szCs w:val="24"/>
        </w:rPr>
        <w:t>chedule II controlled substance. Th</w:t>
      </w:r>
      <w:r w:rsidR="00C9599D">
        <w:rPr>
          <w:rFonts w:ascii="Arial" w:hAnsi="Arial" w:cs="Arial"/>
          <w:szCs w:val="24"/>
        </w:rPr>
        <w:t>e</w:t>
      </w:r>
      <w:r w:rsidR="00852FD8">
        <w:rPr>
          <w:rFonts w:ascii="Arial" w:hAnsi="Arial" w:cs="Arial"/>
          <w:szCs w:val="24"/>
        </w:rPr>
        <w:t xml:space="preserve"> change </w:t>
      </w:r>
      <w:r w:rsidR="00C9599D">
        <w:rPr>
          <w:rFonts w:ascii="Arial" w:hAnsi="Arial" w:cs="Arial"/>
          <w:szCs w:val="24"/>
        </w:rPr>
        <w:t xml:space="preserve">under the bill </w:t>
      </w:r>
      <w:r w:rsidR="00B622AB">
        <w:rPr>
          <w:rFonts w:ascii="Arial" w:hAnsi="Arial" w:cs="Arial"/>
          <w:szCs w:val="24"/>
        </w:rPr>
        <w:t>effectively mak</w:t>
      </w:r>
      <w:r w:rsidR="00852FD8">
        <w:rPr>
          <w:rFonts w:ascii="Arial" w:hAnsi="Arial" w:cs="Arial"/>
          <w:szCs w:val="24"/>
        </w:rPr>
        <w:t>es</w:t>
      </w:r>
      <w:r w:rsidR="00B622AB">
        <w:rPr>
          <w:rFonts w:ascii="Arial" w:hAnsi="Arial" w:cs="Arial"/>
          <w:szCs w:val="24"/>
        </w:rPr>
        <w:t xml:space="preserve"> all hydrocodone-containing products subject to the controls, security, reporting</w:t>
      </w:r>
      <w:r w:rsidR="00852FD8">
        <w:rPr>
          <w:rFonts w:ascii="Arial" w:hAnsi="Arial" w:cs="Arial"/>
          <w:szCs w:val="24"/>
        </w:rPr>
        <w:t xml:space="preserve">, and penalty provisions </w:t>
      </w:r>
      <w:proofErr w:type="gramStart"/>
      <w:r w:rsidR="00852FD8">
        <w:rPr>
          <w:rFonts w:ascii="Arial" w:hAnsi="Arial" w:cs="Arial"/>
          <w:szCs w:val="24"/>
        </w:rPr>
        <w:t>for</w:t>
      </w:r>
      <w:r w:rsidR="00B622AB">
        <w:rPr>
          <w:rFonts w:ascii="Arial" w:hAnsi="Arial" w:cs="Arial"/>
          <w:szCs w:val="24"/>
        </w:rPr>
        <w:t xml:space="preserve">  </w:t>
      </w:r>
      <w:r w:rsidR="00C9599D">
        <w:rPr>
          <w:rFonts w:ascii="Arial" w:hAnsi="Arial" w:cs="Arial"/>
          <w:szCs w:val="24"/>
        </w:rPr>
        <w:t>s</w:t>
      </w:r>
      <w:r w:rsidR="00B622AB">
        <w:rPr>
          <w:rFonts w:ascii="Arial" w:hAnsi="Arial" w:cs="Arial"/>
          <w:szCs w:val="24"/>
        </w:rPr>
        <w:t>chedule</w:t>
      </w:r>
      <w:proofErr w:type="gramEnd"/>
      <w:r w:rsidR="00B622AB">
        <w:rPr>
          <w:rFonts w:ascii="Arial" w:hAnsi="Arial" w:cs="Arial"/>
          <w:szCs w:val="24"/>
        </w:rPr>
        <w:t xml:space="preserve"> II controlled substances</w:t>
      </w:r>
      <w:r w:rsidR="00072AD4" w:rsidRPr="00082D3C">
        <w:rPr>
          <w:rFonts w:ascii="Arial" w:hAnsi="Arial" w:cs="Arial"/>
          <w:szCs w:val="24"/>
        </w:rPr>
        <w:t>.</w:t>
      </w:r>
      <w:r w:rsidR="00B23A5F" w:rsidRPr="00082D3C">
        <w:rPr>
          <w:rFonts w:ascii="Arial" w:hAnsi="Arial" w:cs="Arial"/>
          <w:szCs w:val="24"/>
        </w:rPr>
        <w:t xml:space="preserve"> </w:t>
      </w:r>
    </w:p>
    <w:p w:rsidR="00CE1CFC" w:rsidRPr="00082D3C" w:rsidRDefault="00CE1CFC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The bill removes </w:t>
      </w:r>
      <w:proofErr w:type="spellStart"/>
      <w:r>
        <w:rPr>
          <w:rFonts w:ascii="Arial" w:hAnsi="Arial" w:cs="Arial"/>
          <w:szCs w:val="24"/>
        </w:rPr>
        <w:t>naloxegol</w:t>
      </w:r>
      <w:proofErr w:type="spellEnd"/>
      <w:r>
        <w:rPr>
          <w:rFonts w:ascii="Arial" w:hAnsi="Arial" w:cs="Arial"/>
          <w:szCs w:val="24"/>
        </w:rPr>
        <w:t xml:space="preserve">, a new molecular entity and derivative of </w:t>
      </w:r>
      <w:proofErr w:type="spellStart"/>
      <w:r>
        <w:rPr>
          <w:rFonts w:ascii="Arial" w:hAnsi="Arial" w:cs="Arial"/>
          <w:szCs w:val="24"/>
        </w:rPr>
        <w:t>naloxone</w:t>
      </w:r>
      <w:proofErr w:type="spellEnd"/>
      <w:r>
        <w:rPr>
          <w:rFonts w:ascii="Arial" w:hAnsi="Arial" w:cs="Arial"/>
          <w:szCs w:val="24"/>
        </w:rPr>
        <w:t xml:space="preserve">, from control as a schedule III controlled substance. The federal Food and Drug Administration (FDA) recently approved </w:t>
      </w:r>
      <w:proofErr w:type="spellStart"/>
      <w:r>
        <w:rPr>
          <w:rFonts w:ascii="Arial" w:hAnsi="Arial" w:cs="Arial"/>
          <w:szCs w:val="24"/>
        </w:rPr>
        <w:t>naloxegol</w:t>
      </w:r>
      <w:proofErr w:type="spellEnd"/>
      <w:r>
        <w:rPr>
          <w:rFonts w:ascii="Arial" w:hAnsi="Arial" w:cs="Arial"/>
          <w:szCs w:val="24"/>
        </w:rPr>
        <w:t xml:space="preserve"> for the treatment of </w:t>
      </w:r>
      <w:proofErr w:type="spellStart"/>
      <w:r>
        <w:rPr>
          <w:rFonts w:ascii="Arial" w:hAnsi="Arial" w:cs="Arial"/>
          <w:szCs w:val="24"/>
        </w:rPr>
        <w:t>opioid</w:t>
      </w:r>
      <w:proofErr w:type="spellEnd"/>
      <w:r>
        <w:rPr>
          <w:rFonts w:ascii="Arial" w:hAnsi="Arial" w:cs="Arial"/>
          <w:szCs w:val="24"/>
        </w:rPr>
        <w:t xml:space="preserve">-induced constipation in adults with chronic non-cancer pain. </w:t>
      </w:r>
      <w:r w:rsidR="005A5AD9">
        <w:rPr>
          <w:rFonts w:ascii="Arial" w:hAnsi="Arial" w:cs="Arial"/>
          <w:szCs w:val="24"/>
        </w:rPr>
        <w:t>The bill also removes [\123I]</w:t>
      </w:r>
      <w:proofErr w:type="spellStart"/>
      <w:r w:rsidR="005A5AD9">
        <w:rPr>
          <w:rFonts w:ascii="Arial" w:hAnsi="Arial" w:cs="Arial"/>
          <w:szCs w:val="24"/>
        </w:rPr>
        <w:t>ioflupane</w:t>
      </w:r>
      <w:proofErr w:type="spellEnd"/>
      <w:r w:rsidR="005A5AD9">
        <w:rPr>
          <w:rFonts w:ascii="Arial" w:hAnsi="Arial" w:cs="Arial"/>
          <w:szCs w:val="24"/>
        </w:rPr>
        <w:t xml:space="preserve"> from control as a schedule II controlled substance. </w:t>
      </w:r>
      <w:r w:rsidR="00A46A8A">
        <w:rPr>
          <w:rFonts w:ascii="Arial" w:hAnsi="Arial" w:cs="Arial"/>
          <w:szCs w:val="24"/>
        </w:rPr>
        <w:t xml:space="preserve">This substance is a new molecular entity and is the active pharmaceutical ingredient in the drug </w:t>
      </w:r>
      <w:proofErr w:type="spellStart"/>
      <w:r w:rsidR="00A46A8A">
        <w:rPr>
          <w:rFonts w:ascii="Arial" w:hAnsi="Arial" w:cs="Arial"/>
          <w:szCs w:val="24"/>
        </w:rPr>
        <w:t>DaTscan</w:t>
      </w:r>
      <w:proofErr w:type="spellEnd"/>
      <w:r w:rsidR="00A46A8A">
        <w:rPr>
          <w:rFonts w:ascii="Arial" w:hAnsi="Arial" w:cs="Arial"/>
          <w:szCs w:val="24"/>
        </w:rPr>
        <w:t>, recently approved by the federal Food and Drug Administration for use in diagnosis of patients suspected of Parkinson’s disease. Evidence supports the removal of [123\</w:t>
      </w:r>
      <w:proofErr w:type="gramStart"/>
      <w:r w:rsidR="00A46A8A">
        <w:rPr>
          <w:rFonts w:ascii="Arial" w:hAnsi="Arial" w:cs="Arial"/>
          <w:szCs w:val="24"/>
        </w:rPr>
        <w:t>]</w:t>
      </w:r>
      <w:proofErr w:type="spellStart"/>
      <w:r w:rsidR="00A46A8A">
        <w:rPr>
          <w:rFonts w:ascii="Arial" w:hAnsi="Arial" w:cs="Arial"/>
          <w:szCs w:val="24"/>
        </w:rPr>
        <w:t>ioflupane</w:t>
      </w:r>
      <w:proofErr w:type="spellEnd"/>
      <w:proofErr w:type="gramEnd"/>
      <w:r w:rsidR="00A46A8A">
        <w:rPr>
          <w:rFonts w:ascii="Arial" w:hAnsi="Arial" w:cs="Arial"/>
          <w:szCs w:val="24"/>
        </w:rPr>
        <w:t xml:space="preserve"> from control as a controlled substance.</w:t>
      </w:r>
    </w:p>
    <w:p w:rsidR="00C62A10" w:rsidRDefault="00446822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082D3C">
        <w:rPr>
          <w:rFonts w:ascii="Arial" w:hAnsi="Arial" w:cs="Arial"/>
          <w:szCs w:val="24"/>
        </w:rPr>
        <w:t xml:space="preserve">The bill </w:t>
      </w:r>
      <w:r w:rsidR="00C9599D">
        <w:rPr>
          <w:rFonts w:ascii="Arial" w:hAnsi="Arial" w:cs="Arial"/>
          <w:szCs w:val="24"/>
        </w:rPr>
        <w:t xml:space="preserve">also </w:t>
      </w:r>
      <w:r w:rsidRPr="00082D3C">
        <w:rPr>
          <w:rFonts w:ascii="Arial" w:hAnsi="Arial" w:cs="Arial"/>
          <w:szCs w:val="24"/>
        </w:rPr>
        <w:t>classifies</w:t>
      </w:r>
      <w:r w:rsidR="00B622AB">
        <w:rPr>
          <w:rFonts w:ascii="Arial" w:hAnsi="Arial" w:cs="Arial"/>
          <w:szCs w:val="24"/>
        </w:rPr>
        <w:t xml:space="preserve"> </w:t>
      </w:r>
      <w:r w:rsidR="00AE48FD">
        <w:rPr>
          <w:rFonts w:ascii="Arial" w:hAnsi="Arial" w:cs="Arial"/>
          <w:szCs w:val="24"/>
        </w:rPr>
        <w:t xml:space="preserve">the substance commonly known as </w:t>
      </w:r>
      <w:proofErr w:type="spellStart"/>
      <w:r w:rsidR="00AE48FD">
        <w:rPr>
          <w:rFonts w:ascii="Arial" w:hAnsi="Arial" w:cs="Arial"/>
          <w:szCs w:val="24"/>
        </w:rPr>
        <w:t>tramadol</w:t>
      </w:r>
      <w:proofErr w:type="spellEnd"/>
      <w:r w:rsidR="00AE48FD">
        <w:rPr>
          <w:rFonts w:ascii="Arial" w:hAnsi="Arial" w:cs="Arial"/>
          <w:szCs w:val="24"/>
        </w:rPr>
        <w:t xml:space="preserve">, a centrally acting </w:t>
      </w:r>
      <w:proofErr w:type="spellStart"/>
      <w:r w:rsidR="00AE48FD">
        <w:rPr>
          <w:rFonts w:ascii="Arial" w:hAnsi="Arial" w:cs="Arial"/>
          <w:szCs w:val="24"/>
        </w:rPr>
        <w:t>opioid</w:t>
      </w:r>
      <w:proofErr w:type="spellEnd"/>
      <w:r w:rsidR="00AE48FD">
        <w:rPr>
          <w:rFonts w:ascii="Arial" w:hAnsi="Arial" w:cs="Arial"/>
          <w:szCs w:val="24"/>
        </w:rPr>
        <w:t xml:space="preserve"> analgesic, as a </w:t>
      </w:r>
      <w:r w:rsidR="00C9599D">
        <w:rPr>
          <w:rFonts w:ascii="Arial" w:hAnsi="Arial" w:cs="Arial"/>
          <w:szCs w:val="24"/>
        </w:rPr>
        <w:t>s</w:t>
      </w:r>
      <w:r w:rsidR="00AE48FD">
        <w:rPr>
          <w:rFonts w:ascii="Arial" w:hAnsi="Arial" w:cs="Arial"/>
          <w:szCs w:val="24"/>
        </w:rPr>
        <w:t xml:space="preserve">chedule IV controlled substance. This substance was previously marketed and distributed as a </w:t>
      </w:r>
      <w:proofErr w:type="spellStart"/>
      <w:r w:rsidR="00AE48FD">
        <w:rPr>
          <w:rFonts w:ascii="Arial" w:hAnsi="Arial" w:cs="Arial"/>
          <w:szCs w:val="24"/>
        </w:rPr>
        <w:t>noncontrolled</w:t>
      </w:r>
      <w:proofErr w:type="spellEnd"/>
      <w:r w:rsidR="00AE48FD">
        <w:rPr>
          <w:rFonts w:ascii="Arial" w:hAnsi="Arial" w:cs="Arial"/>
          <w:szCs w:val="24"/>
        </w:rPr>
        <w:t xml:space="preserve"> prescription drug. Effective August 18, 2014, the federal Drug Enforcement Administration classified </w:t>
      </w:r>
      <w:proofErr w:type="spellStart"/>
      <w:r w:rsidR="00AE48FD">
        <w:rPr>
          <w:rFonts w:ascii="Arial" w:hAnsi="Arial" w:cs="Arial"/>
          <w:szCs w:val="24"/>
        </w:rPr>
        <w:t>tramadol</w:t>
      </w:r>
      <w:proofErr w:type="spellEnd"/>
      <w:r w:rsidR="00AE48FD">
        <w:rPr>
          <w:rFonts w:ascii="Arial" w:hAnsi="Arial" w:cs="Arial"/>
          <w:szCs w:val="24"/>
        </w:rPr>
        <w:t xml:space="preserve"> as a </w:t>
      </w:r>
      <w:r w:rsidR="00C9599D">
        <w:rPr>
          <w:rFonts w:ascii="Arial" w:hAnsi="Arial" w:cs="Arial"/>
          <w:szCs w:val="24"/>
        </w:rPr>
        <w:t>s</w:t>
      </w:r>
      <w:r w:rsidR="00AE48FD">
        <w:rPr>
          <w:rFonts w:ascii="Arial" w:hAnsi="Arial" w:cs="Arial"/>
          <w:szCs w:val="24"/>
        </w:rPr>
        <w:t>chedule IV controlled substance under federal law.</w:t>
      </w:r>
    </w:p>
    <w:p w:rsidR="00C94694" w:rsidRDefault="00FB39F9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bill also classifies </w:t>
      </w:r>
      <w:proofErr w:type="spellStart"/>
      <w:r>
        <w:rPr>
          <w:rFonts w:ascii="Arial" w:hAnsi="Arial" w:cs="Arial"/>
          <w:szCs w:val="24"/>
        </w:rPr>
        <w:t>alfaxalone</w:t>
      </w:r>
      <w:proofErr w:type="spellEnd"/>
      <w:r>
        <w:rPr>
          <w:rFonts w:ascii="Arial" w:hAnsi="Arial" w:cs="Arial"/>
          <w:szCs w:val="24"/>
        </w:rPr>
        <w:t xml:space="preserve">, a </w:t>
      </w:r>
      <w:proofErr w:type="spellStart"/>
      <w:r>
        <w:rPr>
          <w:rFonts w:ascii="Arial" w:hAnsi="Arial" w:cs="Arial"/>
          <w:szCs w:val="24"/>
        </w:rPr>
        <w:t>neurosteroid</w:t>
      </w:r>
      <w:proofErr w:type="spellEnd"/>
      <w:r>
        <w:rPr>
          <w:rFonts w:ascii="Arial" w:hAnsi="Arial" w:cs="Arial"/>
          <w:szCs w:val="24"/>
        </w:rPr>
        <w:t xml:space="preserve"> with central nervous system depressant properties, as a </w:t>
      </w:r>
      <w:r w:rsidR="00C9599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chedule IV cont</w:t>
      </w:r>
      <w:r w:rsidR="00C94694">
        <w:rPr>
          <w:rFonts w:ascii="Arial" w:hAnsi="Arial" w:cs="Arial"/>
          <w:szCs w:val="24"/>
        </w:rPr>
        <w:t xml:space="preserve">rolled substance. The federal Food and Drug Administration (FDA) recently approved this intravenous </w:t>
      </w:r>
      <w:proofErr w:type="spellStart"/>
      <w:r w:rsidR="00C94694">
        <w:rPr>
          <w:rFonts w:ascii="Arial" w:hAnsi="Arial" w:cs="Arial"/>
          <w:szCs w:val="24"/>
        </w:rPr>
        <w:t>injectable</w:t>
      </w:r>
      <w:proofErr w:type="spellEnd"/>
      <w:r w:rsidR="00C94694">
        <w:rPr>
          <w:rFonts w:ascii="Arial" w:hAnsi="Arial" w:cs="Arial"/>
          <w:szCs w:val="24"/>
        </w:rPr>
        <w:t xml:space="preserve"> </w:t>
      </w:r>
      <w:proofErr w:type="spellStart"/>
      <w:r w:rsidR="00C94694">
        <w:rPr>
          <w:rFonts w:ascii="Arial" w:hAnsi="Arial" w:cs="Arial"/>
          <w:szCs w:val="24"/>
        </w:rPr>
        <w:t>anestheticfor</w:t>
      </w:r>
      <w:proofErr w:type="spellEnd"/>
      <w:r w:rsidR="00C94694">
        <w:rPr>
          <w:rFonts w:ascii="Arial" w:hAnsi="Arial" w:cs="Arial"/>
          <w:szCs w:val="24"/>
        </w:rPr>
        <w:t xml:space="preserve"> use by or on the order of a licensed veterinarian. </w:t>
      </w:r>
      <w:proofErr w:type="spellStart"/>
      <w:r w:rsidR="00C94694">
        <w:rPr>
          <w:rFonts w:ascii="Arial" w:hAnsi="Arial" w:cs="Arial"/>
          <w:szCs w:val="24"/>
        </w:rPr>
        <w:t>Alfaxalone</w:t>
      </w:r>
      <w:proofErr w:type="spellEnd"/>
      <w:r w:rsidR="00C94694">
        <w:rPr>
          <w:rFonts w:ascii="Arial" w:hAnsi="Arial" w:cs="Arial"/>
          <w:szCs w:val="24"/>
        </w:rPr>
        <w:t xml:space="preserve"> is not available by prescription and is approved for use in veterinary practice.</w:t>
      </w:r>
    </w:p>
    <w:p w:rsidR="00676447" w:rsidRPr="00082D3C" w:rsidRDefault="00C94694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bill classifies </w:t>
      </w:r>
      <w:proofErr w:type="spellStart"/>
      <w:r>
        <w:rPr>
          <w:rFonts w:ascii="Arial" w:hAnsi="Arial" w:cs="Arial"/>
          <w:szCs w:val="24"/>
        </w:rPr>
        <w:t>suvorexant</w:t>
      </w:r>
      <w:proofErr w:type="spellEnd"/>
      <w:r>
        <w:rPr>
          <w:rFonts w:ascii="Arial" w:hAnsi="Arial" w:cs="Arial"/>
          <w:szCs w:val="24"/>
        </w:rPr>
        <w:t>, a new insomnia treatment</w:t>
      </w:r>
      <w:r w:rsidR="00C9599D">
        <w:rPr>
          <w:rFonts w:ascii="Arial" w:hAnsi="Arial" w:cs="Arial"/>
          <w:szCs w:val="24"/>
        </w:rPr>
        <w:t xml:space="preserve"> approved by the federal Food and Drug Administration</w:t>
      </w:r>
      <w:r>
        <w:rPr>
          <w:rFonts w:ascii="Arial" w:hAnsi="Arial" w:cs="Arial"/>
          <w:szCs w:val="24"/>
        </w:rPr>
        <w:t xml:space="preserve">, as a </w:t>
      </w:r>
      <w:r w:rsidR="00C9599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chedule IV controlled substance.</w:t>
      </w:r>
      <w:r w:rsidR="00FB39F9">
        <w:rPr>
          <w:rFonts w:ascii="Arial" w:hAnsi="Arial" w:cs="Arial"/>
          <w:szCs w:val="24"/>
        </w:rPr>
        <w:t xml:space="preserve"> </w:t>
      </w:r>
      <w:r w:rsidR="00576FDE">
        <w:rPr>
          <w:rFonts w:ascii="Arial" w:hAnsi="Arial" w:cs="Arial"/>
          <w:szCs w:val="24"/>
        </w:rPr>
        <w:t xml:space="preserve">This is a novel, first in class, chemical substance and information on actual abuse data is not available. However, data from clinical studies </w:t>
      </w:r>
      <w:r w:rsidR="00C9599D">
        <w:rPr>
          <w:rFonts w:ascii="Arial" w:hAnsi="Arial" w:cs="Arial"/>
          <w:szCs w:val="24"/>
        </w:rPr>
        <w:t>support the</w:t>
      </w:r>
      <w:r w:rsidR="00852FD8">
        <w:rPr>
          <w:rFonts w:ascii="Arial" w:hAnsi="Arial" w:cs="Arial"/>
          <w:szCs w:val="24"/>
        </w:rPr>
        <w:t xml:space="preserve"> classification in </w:t>
      </w:r>
      <w:r w:rsidR="00C9599D">
        <w:rPr>
          <w:rFonts w:ascii="Arial" w:hAnsi="Arial" w:cs="Arial"/>
          <w:szCs w:val="24"/>
        </w:rPr>
        <w:t>s</w:t>
      </w:r>
      <w:r w:rsidR="00852FD8">
        <w:rPr>
          <w:rFonts w:ascii="Arial" w:hAnsi="Arial" w:cs="Arial"/>
          <w:szCs w:val="24"/>
        </w:rPr>
        <w:t>chedule IV</w:t>
      </w:r>
      <w:r w:rsidR="00576FDE">
        <w:rPr>
          <w:rFonts w:ascii="Arial" w:hAnsi="Arial" w:cs="Arial"/>
          <w:szCs w:val="24"/>
        </w:rPr>
        <w:t>.</w:t>
      </w:r>
      <w:r w:rsidR="00AE48FD">
        <w:rPr>
          <w:rFonts w:ascii="Arial" w:hAnsi="Arial" w:cs="Arial"/>
          <w:szCs w:val="24"/>
        </w:rPr>
        <w:t xml:space="preserve"> </w:t>
      </w:r>
    </w:p>
    <w:p w:rsidR="00542DE5" w:rsidRPr="005B312F" w:rsidRDefault="00542DE5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5B312F">
        <w:rPr>
          <w:rFonts w:ascii="Arial" w:hAnsi="Arial" w:cs="Arial"/>
          <w:szCs w:val="24"/>
        </w:rPr>
        <w:t>It is a class “C” felony pursuant to Code section 124.401(1)</w:t>
      </w:r>
      <w:r w:rsidR="009C1775" w:rsidRPr="005B312F">
        <w:rPr>
          <w:rFonts w:ascii="Arial" w:hAnsi="Arial" w:cs="Arial"/>
          <w:szCs w:val="24"/>
        </w:rPr>
        <w:t>(c)</w:t>
      </w:r>
      <w:r w:rsidRPr="005B312F">
        <w:rPr>
          <w:rFonts w:ascii="Arial" w:hAnsi="Arial" w:cs="Arial"/>
          <w:szCs w:val="24"/>
        </w:rPr>
        <w:t xml:space="preserve">(8) for any unauthorized person to violate a provision of Code section 124.401, involving a classified substance placed </w:t>
      </w:r>
      <w:r w:rsidR="00127ACE" w:rsidRPr="005B312F">
        <w:rPr>
          <w:rFonts w:ascii="Arial" w:hAnsi="Arial" w:cs="Arial"/>
          <w:szCs w:val="24"/>
        </w:rPr>
        <w:t>i</w:t>
      </w:r>
      <w:r w:rsidRPr="005B312F">
        <w:rPr>
          <w:rFonts w:ascii="Arial" w:hAnsi="Arial" w:cs="Arial"/>
          <w:szCs w:val="24"/>
        </w:rPr>
        <w:t xml:space="preserve">n </w:t>
      </w:r>
      <w:r w:rsidR="00C9599D">
        <w:rPr>
          <w:rFonts w:ascii="Arial" w:hAnsi="Arial" w:cs="Arial"/>
          <w:szCs w:val="24"/>
        </w:rPr>
        <w:t>s</w:t>
      </w:r>
      <w:r w:rsidRPr="005B312F">
        <w:rPr>
          <w:rFonts w:ascii="Arial" w:hAnsi="Arial" w:cs="Arial"/>
          <w:szCs w:val="24"/>
        </w:rPr>
        <w:t>chedule I, II, or III pursuant to the bill. A class “C” felony for this particular offense is punisha</w:t>
      </w:r>
      <w:r w:rsidR="009C1775" w:rsidRPr="005B312F">
        <w:rPr>
          <w:rFonts w:ascii="Arial" w:hAnsi="Arial" w:cs="Arial"/>
          <w:szCs w:val="24"/>
        </w:rPr>
        <w:t>b</w:t>
      </w:r>
      <w:r w:rsidRPr="005B312F">
        <w:rPr>
          <w:rFonts w:ascii="Arial" w:hAnsi="Arial" w:cs="Arial"/>
          <w:szCs w:val="24"/>
        </w:rPr>
        <w:t>le by confinement for no more than 10 years and a fine of at least $1,000 but not more than $50,000.</w:t>
      </w:r>
    </w:p>
    <w:p w:rsidR="00127ACE" w:rsidRPr="00082D3C" w:rsidRDefault="00127ACE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  <w:highlight w:val="cyan"/>
        </w:rPr>
      </w:pPr>
      <w:r w:rsidRPr="005B312F">
        <w:rPr>
          <w:rFonts w:ascii="Arial" w:hAnsi="Arial" w:cs="Arial"/>
          <w:szCs w:val="24"/>
        </w:rPr>
        <w:t>It is an aggravated misdemeanor pursuant to Code section 124.401(1</w:t>
      </w:r>
      <w:proofErr w:type="gramStart"/>
      <w:r w:rsidRPr="005B312F">
        <w:rPr>
          <w:rFonts w:ascii="Arial" w:hAnsi="Arial" w:cs="Arial"/>
          <w:szCs w:val="24"/>
        </w:rPr>
        <w:t>)(</w:t>
      </w:r>
      <w:proofErr w:type="gramEnd"/>
      <w:r w:rsidRPr="005B312F">
        <w:rPr>
          <w:rFonts w:ascii="Arial" w:hAnsi="Arial" w:cs="Arial"/>
          <w:szCs w:val="24"/>
        </w:rPr>
        <w:t xml:space="preserve">d) for any unauthorized person to violate a provision of Code section 124.401 involving a classified substance placed in </w:t>
      </w:r>
      <w:r w:rsidR="002F3813">
        <w:rPr>
          <w:rFonts w:ascii="Arial" w:hAnsi="Arial" w:cs="Arial"/>
          <w:szCs w:val="24"/>
        </w:rPr>
        <w:t>s</w:t>
      </w:r>
      <w:r w:rsidRPr="005B312F">
        <w:rPr>
          <w:rFonts w:ascii="Arial" w:hAnsi="Arial" w:cs="Arial"/>
          <w:szCs w:val="24"/>
        </w:rPr>
        <w:t xml:space="preserve">chedule IV pursuant to the bill. </w:t>
      </w:r>
      <w:r w:rsidRPr="00852FD8">
        <w:rPr>
          <w:rFonts w:ascii="Arial" w:hAnsi="Arial" w:cs="Arial"/>
          <w:szCs w:val="24"/>
        </w:rPr>
        <w:t>An aggravated misdemeanor</w:t>
      </w:r>
      <w:r w:rsidR="00A25F10" w:rsidRPr="00852FD8">
        <w:rPr>
          <w:rFonts w:ascii="Arial" w:hAnsi="Arial" w:cs="Arial"/>
          <w:szCs w:val="24"/>
        </w:rPr>
        <w:t xml:space="preserve"> is punishable by confinement for no more than two years and a fine of at least $625 but not more than $6,250.</w:t>
      </w:r>
    </w:p>
    <w:p w:rsidR="00542DE5" w:rsidRPr="00082D3C" w:rsidRDefault="00542DE5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  <w:r w:rsidRPr="005B312F">
        <w:rPr>
          <w:rFonts w:ascii="Arial" w:hAnsi="Arial" w:cs="Arial"/>
          <w:szCs w:val="24"/>
        </w:rPr>
        <w:t xml:space="preserve">If a person possesses a controlled substance in violation of Code section 124.401(5) </w:t>
      </w:r>
      <w:r w:rsidR="002F3813">
        <w:rPr>
          <w:rFonts w:ascii="Arial" w:hAnsi="Arial" w:cs="Arial"/>
          <w:szCs w:val="24"/>
        </w:rPr>
        <w:t xml:space="preserve">as a first offense, </w:t>
      </w:r>
      <w:r w:rsidRPr="005B312F">
        <w:rPr>
          <w:rFonts w:ascii="Arial" w:hAnsi="Arial" w:cs="Arial"/>
          <w:szCs w:val="24"/>
        </w:rPr>
        <w:t xml:space="preserve">the person commits a serious misdemeanor. A serious misdemeanor </w:t>
      </w:r>
      <w:r w:rsidR="009C1775" w:rsidRPr="005B312F">
        <w:rPr>
          <w:rFonts w:ascii="Arial" w:hAnsi="Arial" w:cs="Arial"/>
          <w:szCs w:val="24"/>
        </w:rPr>
        <w:t>is punishable by confinement for no more than one year and a fine of at least $315 but not more than $1,875.</w:t>
      </w:r>
    </w:p>
    <w:p w:rsidR="00F220D0" w:rsidRPr="00082D3C" w:rsidRDefault="00F220D0" w:rsidP="00082D3C">
      <w:pPr>
        <w:tabs>
          <w:tab w:val="left" w:pos="0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440"/>
        </w:tabs>
        <w:spacing w:line="480" w:lineRule="auto"/>
        <w:ind w:firstLine="720"/>
        <w:rPr>
          <w:rFonts w:ascii="Arial" w:hAnsi="Arial" w:cs="Arial"/>
          <w:szCs w:val="24"/>
        </w:rPr>
      </w:pPr>
    </w:p>
    <w:sectPr w:rsidR="00F220D0" w:rsidRPr="00082D3C" w:rsidSect="002878B6">
      <w:footerReference w:type="default" r:id="rId7"/>
      <w:endnotePr>
        <w:numFmt w:val="decimal"/>
      </w:endnotePr>
      <w:pgSz w:w="12240" w:h="15840"/>
      <w:pgMar w:top="1440" w:right="1440" w:bottom="1440" w:left="1440" w:header="720" w:footer="576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AD9" w:rsidRDefault="005A5AD9">
      <w:r>
        <w:separator/>
      </w:r>
    </w:p>
  </w:endnote>
  <w:endnote w:type="continuationSeparator" w:id="0">
    <w:p w:rsidR="005A5AD9" w:rsidRDefault="005A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D9" w:rsidRDefault="005A5AD9">
    <w:pPr>
      <w:spacing w:line="240" w:lineRule="exact"/>
    </w:pPr>
  </w:p>
  <w:p w:rsidR="005A5AD9" w:rsidRDefault="005A5AD9">
    <w:pPr>
      <w:jc w:val="center"/>
      <w:rPr>
        <w:sz w:val="20"/>
      </w:rPr>
    </w:pPr>
    <w:r>
      <w:rPr>
        <w:rStyle w:val="PageNumber"/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050E1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AD9" w:rsidRDefault="005A5AD9">
      <w:r>
        <w:separator/>
      </w:r>
    </w:p>
  </w:footnote>
  <w:footnote w:type="continuationSeparator" w:id="0">
    <w:p w:rsidR="005A5AD9" w:rsidRDefault="005A5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3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6D8A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D78E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48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AE84C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1C0C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9C16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DA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722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B4B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E37BD"/>
    <w:multiLevelType w:val="singleLevel"/>
    <w:tmpl w:val="20EEAB7E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1">
    <w:nsid w:val="10972E16"/>
    <w:multiLevelType w:val="singleLevel"/>
    <w:tmpl w:val="DDD0FEB0"/>
    <w:lvl w:ilvl="0">
      <w:start w:val="1"/>
      <w:numFmt w:val="lowerLetter"/>
      <w:lvlText w:val="%1."/>
      <w:lvlJc w:val="left"/>
      <w:pPr>
        <w:tabs>
          <w:tab w:val="num" w:pos="798"/>
        </w:tabs>
        <w:ind w:left="0" w:firstLine="438"/>
      </w:pPr>
      <w:rPr>
        <w:rFonts w:hint="default"/>
      </w:rPr>
    </w:lvl>
  </w:abstractNum>
  <w:abstractNum w:abstractNumId="12">
    <w:nsid w:val="343A567B"/>
    <w:multiLevelType w:val="singleLevel"/>
    <w:tmpl w:val="E1D090B2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68967E71"/>
    <w:multiLevelType w:val="singleLevel"/>
    <w:tmpl w:val="F9F0F56A"/>
    <w:lvl w:ilvl="0">
      <w:start w:val="1"/>
      <w:numFmt w:val="lowerLetter"/>
      <w:lvlText w:val="%1."/>
      <w:lvlJc w:val="left"/>
      <w:pPr>
        <w:tabs>
          <w:tab w:val="num" w:pos="792"/>
        </w:tabs>
        <w:ind w:left="0" w:firstLine="432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8"/>
  <w:embedSystemFonts/>
  <w:bordersDoNotSurroundHeader/>
  <w:bordersDoNotSurroundFooter/>
  <w:hideGrammaticalErrors/>
  <w:activeWritingStyle w:appName="MSWord" w:lang="en-US" w:vendorID="8" w:dllVersion="513" w:checkStyle="1"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509"/>
    <w:rsid w:val="00017B2C"/>
    <w:rsid w:val="000214CF"/>
    <w:rsid w:val="00035A4B"/>
    <w:rsid w:val="0005063B"/>
    <w:rsid w:val="0006106C"/>
    <w:rsid w:val="000728DA"/>
    <w:rsid w:val="00072AD4"/>
    <w:rsid w:val="00082D3C"/>
    <w:rsid w:val="000928B6"/>
    <w:rsid w:val="000A16F0"/>
    <w:rsid w:val="000A47D5"/>
    <w:rsid w:val="000B67EE"/>
    <w:rsid w:val="000C785F"/>
    <w:rsid w:val="000D04DF"/>
    <w:rsid w:val="000D2DE6"/>
    <w:rsid w:val="000D7C42"/>
    <w:rsid w:val="000E0602"/>
    <w:rsid w:val="00114F46"/>
    <w:rsid w:val="00127ACE"/>
    <w:rsid w:val="00146B3A"/>
    <w:rsid w:val="00164362"/>
    <w:rsid w:val="00193440"/>
    <w:rsid w:val="001B0782"/>
    <w:rsid w:val="001B5545"/>
    <w:rsid w:val="001D5358"/>
    <w:rsid w:val="00233647"/>
    <w:rsid w:val="00236B83"/>
    <w:rsid w:val="00242486"/>
    <w:rsid w:val="002629DE"/>
    <w:rsid w:val="00274116"/>
    <w:rsid w:val="00287447"/>
    <w:rsid w:val="002878B6"/>
    <w:rsid w:val="002A21E3"/>
    <w:rsid w:val="002A35ED"/>
    <w:rsid w:val="002C1CC8"/>
    <w:rsid w:val="002D3E19"/>
    <w:rsid w:val="002F3813"/>
    <w:rsid w:val="00310B9A"/>
    <w:rsid w:val="0035591B"/>
    <w:rsid w:val="00361B54"/>
    <w:rsid w:val="00365905"/>
    <w:rsid w:val="003A1B7F"/>
    <w:rsid w:val="003A6753"/>
    <w:rsid w:val="003B59D4"/>
    <w:rsid w:val="003C29DE"/>
    <w:rsid w:val="003D6834"/>
    <w:rsid w:val="003E4261"/>
    <w:rsid w:val="00422482"/>
    <w:rsid w:val="004265A7"/>
    <w:rsid w:val="00446822"/>
    <w:rsid w:val="004655B8"/>
    <w:rsid w:val="004874D4"/>
    <w:rsid w:val="004A16FA"/>
    <w:rsid w:val="004A2C70"/>
    <w:rsid w:val="004A6EB6"/>
    <w:rsid w:val="004C25CA"/>
    <w:rsid w:val="004E0D5D"/>
    <w:rsid w:val="004E55F5"/>
    <w:rsid w:val="004F3006"/>
    <w:rsid w:val="004F35EB"/>
    <w:rsid w:val="005023AC"/>
    <w:rsid w:val="00514509"/>
    <w:rsid w:val="005240CC"/>
    <w:rsid w:val="00542DE5"/>
    <w:rsid w:val="00550EED"/>
    <w:rsid w:val="00574E17"/>
    <w:rsid w:val="00576FDE"/>
    <w:rsid w:val="00592D28"/>
    <w:rsid w:val="005A5AD9"/>
    <w:rsid w:val="005B0907"/>
    <w:rsid w:val="005B312F"/>
    <w:rsid w:val="005B38D8"/>
    <w:rsid w:val="005C7C48"/>
    <w:rsid w:val="005D43A3"/>
    <w:rsid w:val="005D501E"/>
    <w:rsid w:val="005E441B"/>
    <w:rsid w:val="0064241B"/>
    <w:rsid w:val="00653471"/>
    <w:rsid w:val="006600D4"/>
    <w:rsid w:val="00676447"/>
    <w:rsid w:val="006966AB"/>
    <w:rsid w:val="006B14AA"/>
    <w:rsid w:val="006B1E49"/>
    <w:rsid w:val="006B5959"/>
    <w:rsid w:val="006B67DF"/>
    <w:rsid w:val="006C4952"/>
    <w:rsid w:val="006C51BA"/>
    <w:rsid w:val="006D262E"/>
    <w:rsid w:val="007050E1"/>
    <w:rsid w:val="00712D17"/>
    <w:rsid w:val="00721790"/>
    <w:rsid w:val="00730865"/>
    <w:rsid w:val="007415F1"/>
    <w:rsid w:val="00747B7F"/>
    <w:rsid w:val="0075510A"/>
    <w:rsid w:val="007665B1"/>
    <w:rsid w:val="0077170B"/>
    <w:rsid w:val="007C10AD"/>
    <w:rsid w:val="007C224A"/>
    <w:rsid w:val="007C69E5"/>
    <w:rsid w:val="007D5589"/>
    <w:rsid w:val="007F7925"/>
    <w:rsid w:val="00804466"/>
    <w:rsid w:val="00847FD5"/>
    <w:rsid w:val="00852FD8"/>
    <w:rsid w:val="008904D3"/>
    <w:rsid w:val="008D2ACD"/>
    <w:rsid w:val="00901B10"/>
    <w:rsid w:val="00920CA1"/>
    <w:rsid w:val="00991872"/>
    <w:rsid w:val="009A02CE"/>
    <w:rsid w:val="009C1775"/>
    <w:rsid w:val="009C26F3"/>
    <w:rsid w:val="00A07749"/>
    <w:rsid w:val="00A25F10"/>
    <w:rsid w:val="00A43391"/>
    <w:rsid w:val="00A46448"/>
    <w:rsid w:val="00A46A8A"/>
    <w:rsid w:val="00A6116D"/>
    <w:rsid w:val="00A61E6F"/>
    <w:rsid w:val="00A7704B"/>
    <w:rsid w:val="00AA16A0"/>
    <w:rsid w:val="00AA4F11"/>
    <w:rsid w:val="00AA6BD7"/>
    <w:rsid w:val="00AB67D0"/>
    <w:rsid w:val="00AC65FC"/>
    <w:rsid w:val="00AE48FD"/>
    <w:rsid w:val="00B02DF2"/>
    <w:rsid w:val="00B04A6A"/>
    <w:rsid w:val="00B07D47"/>
    <w:rsid w:val="00B23A5F"/>
    <w:rsid w:val="00B279E2"/>
    <w:rsid w:val="00B61CB1"/>
    <w:rsid w:val="00B622AB"/>
    <w:rsid w:val="00B85F53"/>
    <w:rsid w:val="00B91897"/>
    <w:rsid w:val="00B97C7E"/>
    <w:rsid w:val="00BD3276"/>
    <w:rsid w:val="00C15D9A"/>
    <w:rsid w:val="00C26103"/>
    <w:rsid w:val="00C3104C"/>
    <w:rsid w:val="00C37189"/>
    <w:rsid w:val="00C4796F"/>
    <w:rsid w:val="00C62A10"/>
    <w:rsid w:val="00C9048C"/>
    <w:rsid w:val="00C94694"/>
    <w:rsid w:val="00C9599D"/>
    <w:rsid w:val="00CB2253"/>
    <w:rsid w:val="00CC41DE"/>
    <w:rsid w:val="00CD7E20"/>
    <w:rsid w:val="00CE1CFC"/>
    <w:rsid w:val="00D3128D"/>
    <w:rsid w:val="00D46213"/>
    <w:rsid w:val="00D65BA5"/>
    <w:rsid w:val="00D725BA"/>
    <w:rsid w:val="00D84D4E"/>
    <w:rsid w:val="00DB282E"/>
    <w:rsid w:val="00DB4626"/>
    <w:rsid w:val="00DD692B"/>
    <w:rsid w:val="00E0301A"/>
    <w:rsid w:val="00E1328F"/>
    <w:rsid w:val="00E524E2"/>
    <w:rsid w:val="00E60E34"/>
    <w:rsid w:val="00E878E0"/>
    <w:rsid w:val="00E90329"/>
    <w:rsid w:val="00ED665E"/>
    <w:rsid w:val="00EE41D6"/>
    <w:rsid w:val="00F20886"/>
    <w:rsid w:val="00F220D0"/>
    <w:rsid w:val="00F3429E"/>
    <w:rsid w:val="00F55618"/>
    <w:rsid w:val="00F65864"/>
    <w:rsid w:val="00F668ED"/>
    <w:rsid w:val="00F91C36"/>
    <w:rsid w:val="00FA5A10"/>
    <w:rsid w:val="00FB39F9"/>
    <w:rsid w:val="00FB4C5F"/>
    <w:rsid w:val="00FE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35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D5358"/>
    <w:pPr>
      <w:keepNext/>
      <w:tabs>
        <w:tab w:val="left" w:pos="0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</w:tabs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1D5358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D5358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D5358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D535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D5358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D5358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D5358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D5358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5358"/>
  </w:style>
  <w:style w:type="paragraph" w:customStyle="1" w:styleId="TitleIC">
    <w:name w:val="Title IC"/>
    <w:rsid w:val="001D5358"/>
    <w:pPr>
      <w:jc w:val="center"/>
    </w:pPr>
    <w:rPr>
      <w:b/>
      <w:caps/>
      <w:noProof/>
      <w:sz w:val="28"/>
    </w:rPr>
  </w:style>
  <w:style w:type="paragraph" w:customStyle="1" w:styleId="CodeSecti01">
    <w:name w:val="Code Secti01"/>
    <w:basedOn w:val="Normal"/>
    <w:autoRedefine/>
    <w:rsid w:val="001D5358"/>
    <w:pPr>
      <w:widowControl/>
      <w:tabs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</w:tabs>
      <w:jc w:val="both"/>
      <w:outlineLvl w:val="0"/>
    </w:pPr>
    <w:rPr>
      <w:b/>
    </w:rPr>
  </w:style>
  <w:style w:type="paragraph" w:styleId="Header">
    <w:name w:val="header"/>
    <w:basedOn w:val="Normal"/>
    <w:rsid w:val="001D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53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358"/>
  </w:style>
  <w:style w:type="paragraph" w:styleId="TOC1">
    <w:name w:val="toc 1"/>
    <w:basedOn w:val="Normal"/>
    <w:next w:val="Normal"/>
    <w:autoRedefine/>
    <w:semiHidden/>
    <w:rsid w:val="001D5358"/>
  </w:style>
  <w:style w:type="paragraph" w:customStyle="1" w:styleId="ICdivision">
    <w:name w:val="ICdivision"/>
    <w:basedOn w:val="Normal"/>
    <w:rsid w:val="001D5358"/>
    <w:pPr>
      <w:tabs>
        <w:tab w:val="left" w:pos="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</w:rPr>
  </w:style>
  <w:style w:type="paragraph" w:styleId="TOC9">
    <w:name w:val="toc 9"/>
    <w:basedOn w:val="Normal"/>
    <w:next w:val="Normal"/>
    <w:autoRedefine/>
    <w:semiHidden/>
    <w:rsid w:val="001D5358"/>
    <w:pPr>
      <w:ind w:left="1920"/>
    </w:pPr>
  </w:style>
  <w:style w:type="paragraph" w:customStyle="1" w:styleId="CodeSection02">
    <w:name w:val="Code Section02"/>
    <w:basedOn w:val="Normal"/>
    <w:autoRedefine/>
    <w:rsid w:val="0005063B"/>
    <w:pPr>
      <w:widowControl/>
      <w:tabs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</w:tabs>
      <w:spacing w:line="480" w:lineRule="auto"/>
      <w:jc w:val="both"/>
      <w:outlineLvl w:val="2"/>
    </w:pPr>
    <w:rPr>
      <w:rFonts w:ascii="Arial" w:hAnsi="Arial" w:cs="Arial"/>
    </w:rPr>
  </w:style>
  <w:style w:type="paragraph" w:styleId="TOC3">
    <w:name w:val="toc 3"/>
    <w:basedOn w:val="Normal"/>
    <w:next w:val="Normal"/>
    <w:autoRedefine/>
    <w:semiHidden/>
    <w:rsid w:val="001D5358"/>
    <w:pPr>
      <w:ind w:left="480"/>
    </w:pPr>
    <w:rPr>
      <w:i/>
      <w:sz w:val="20"/>
    </w:rPr>
  </w:style>
  <w:style w:type="paragraph" w:styleId="TOC2">
    <w:name w:val="toc 2"/>
    <w:basedOn w:val="Normal"/>
    <w:next w:val="Normal"/>
    <w:autoRedefine/>
    <w:semiHidden/>
    <w:rsid w:val="001D5358"/>
    <w:pPr>
      <w:ind w:left="24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rsid w:val="001D5358"/>
    <w:pPr>
      <w:ind w:left="720"/>
    </w:pPr>
  </w:style>
  <w:style w:type="paragraph" w:styleId="TOC5">
    <w:name w:val="toc 5"/>
    <w:basedOn w:val="Normal"/>
    <w:next w:val="Normal"/>
    <w:autoRedefine/>
    <w:semiHidden/>
    <w:rsid w:val="001D5358"/>
    <w:pPr>
      <w:ind w:left="960"/>
    </w:pPr>
  </w:style>
  <w:style w:type="paragraph" w:styleId="TOC6">
    <w:name w:val="toc 6"/>
    <w:basedOn w:val="Normal"/>
    <w:next w:val="Normal"/>
    <w:autoRedefine/>
    <w:semiHidden/>
    <w:rsid w:val="001D5358"/>
    <w:pPr>
      <w:ind w:left="1200"/>
    </w:pPr>
  </w:style>
  <w:style w:type="paragraph" w:styleId="TOC7">
    <w:name w:val="toc 7"/>
    <w:basedOn w:val="Normal"/>
    <w:next w:val="Normal"/>
    <w:autoRedefine/>
    <w:semiHidden/>
    <w:rsid w:val="001D5358"/>
    <w:pPr>
      <w:ind w:left="1440"/>
    </w:pPr>
  </w:style>
  <w:style w:type="paragraph" w:styleId="TOC8">
    <w:name w:val="toc 8"/>
    <w:basedOn w:val="Normal"/>
    <w:next w:val="Normal"/>
    <w:autoRedefine/>
    <w:semiHidden/>
    <w:rsid w:val="001D5358"/>
    <w:pPr>
      <w:ind w:left="1680"/>
    </w:pPr>
  </w:style>
  <w:style w:type="paragraph" w:styleId="BodyTextIndent">
    <w:name w:val="Body Text Indent"/>
    <w:basedOn w:val="Normal"/>
    <w:rsid w:val="001D5358"/>
    <w:pPr>
      <w:tabs>
        <w:tab w:val="left" w:pos="0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76"/>
      <w:jc w:val="both"/>
    </w:pPr>
  </w:style>
  <w:style w:type="paragraph" w:styleId="BodyText">
    <w:name w:val="Body Text"/>
    <w:basedOn w:val="Normal"/>
    <w:rsid w:val="001D5358"/>
    <w:pPr>
      <w:tabs>
        <w:tab w:val="left" w:pos="0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440"/>
      </w:tabs>
      <w:jc w:val="both"/>
    </w:pPr>
    <w:rPr>
      <w:i/>
    </w:rPr>
  </w:style>
  <w:style w:type="paragraph" w:customStyle="1" w:styleId="CodeNote">
    <w:name w:val="CodeNote"/>
    <w:rsid w:val="001D5358"/>
    <w:pPr>
      <w:widowControl w:val="0"/>
      <w:ind w:firstLine="180"/>
      <w:jc w:val="center"/>
    </w:pPr>
    <w:rPr>
      <w:color w:val="808080"/>
    </w:rPr>
  </w:style>
  <w:style w:type="paragraph" w:customStyle="1" w:styleId="CodeBody">
    <w:name w:val="CodeBody"/>
    <w:rsid w:val="00D46213"/>
    <w:pPr>
      <w:widowControl w:val="0"/>
      <w:ind w:firstLine="180"/>
      <w:jc w:val="both"/>
    </w:pPr>
    <w:rPr>
      <w:sz w:val="24"/>
    </w:rPr>
  </w:style>
  <w:style w:type="paragraph" w:customStyle="1" w:styleId="CodeSection">
    <w:name w:val="CodeSection"/>
    <w:rsid w:val="00D46213"/>
    <w:pPr>
      <w:widowControl w:val="0"/>
      <w:spacing w:before="180"/>
      <w:ind w:firstLine="180"/>
    </w:pPr>
    <w:rPr>
      <w:sz w:val="24"/>
    </w:rPr>
  </w:style>
  <w:style w:type="paragraph" w:styleId="BalloonText">
    <w:name w:val="Balloon Text"/>
    <w:basedOn w:val="Normal"/>
    <w:link w:val="BalloonTextChar"/>
    <w:rsid w:val="00F20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088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1027</Words>
  <Characters>7305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IOWA CODE CHAPTER 124</vt:lpstr>
    </vt:vector>
  </TitlesOfParts>
  <Company>Iowa Board of Pharmacy Examin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IOWA CODE CHAPTER 124</dc:title>
  <dc:creator>Terry Witkowski</dc:creator>
  <cp:lastModifiedBy>Terry Witkowski</cp:lastModifiedBy>
  <cp:revision>5</cp:revision>
  <cp:lastPrinted>2015-10-06T12:12:00Z</cp:lastPrinted>
  <dcterms:created xsi:type="dcterms:W3CDTF">2015-10-06T13:12:00Z</dcterms:created>
  <dcterms:modified xsi:type="dcterms:W3CDTF">2015-10-07T14:28:00Z</dcterms:modified>
</cp:coreProperties>
</file>